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>для иностранных работников,</w:t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>планирующих осуществлять</w:t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 xml:space="preserve"> </w:t>
      </w:r>
      <w:r>
        <w:rPr>
          <w:b/>
          <w:sz w:val="48"/>
        </w:rPr>
        <w:t>трудовую деятельность</w:t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  <w:t>1. Если необходима помощь в поиске работы</w:t>
      </w:r>
    </w:p>
    <w:p>
      <w:pPr>
        <w:pStyle w:val="NormalWeb1"/>
        <w:widowControl w:val="false"/>
        <w:ind w:left="0" w:right="0" w:firstLine="851"/>
        <w:jc w:val="both"/>
        <w:rPr>
          <w:sz w:val="28"/>
        </w:rPr>
      </w:pPr>
      <w:r>
        <w:rPr>
          <w:sz w:val="28"/>
        </w:rPr>
        <w:t>Центры занятости населения Ростовской области оказывают содействие в поиске подходящей работы. Для этого необходимо:</w:t>
      </w:r>
    </w:p>
    <w:p>
      <w:pPr>
        <w:pStyle w:val="NormalWeb1"/>
        <w:widowControl w:val="false"/>
        <w:numPr>
          <w:ilvl w:val="0"/>
          <w:numId w:val="1"/>
        </w:numPr>
        <w:spacing w:before="280" w:after="0"/>
        <w:ind w:left="0" w:right="0" w:firstLine="851"/>
        <w:jc w:val="both"/>
        <w:rPr/>
      </w:pPr>
      <w:r>
        <w:rPr>
          <w:sz w:val="28"/>
        </w:rPr>
        <w:t>Подать заявление на поиск подходящей работы на Единой цифровой платформе в сфере занятости и трудовых отношений «Работа в России» (</w:t>
      </w:r>
      <w:hyperlink r:id="rId2">
        <w:r>
          <w:rPr>
            <w:rStyle w:val="ListLabel4"/>
            <w:color w:val="000000"/>
            <w:sz w:val="28"/>
          </w:rPr>
          <w:t>www.trudvsem.ru</w:t>
        </w:r>
      </w:hyperlink>
      <w:r>
        <w:rPr>
          <w:sz w:val="28"/>
        </w:rPr>
        <w:t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Госуслуг).</w:t>
      </w:r>
    </w:p>
    <w:p>
      <w:pPr>
        <w:pStyle w:val="NormalWeb1"/>
        <w:widowControl w:val="false"/>
        <w:numPr>
          <w:ilvl w:val="0"/>
          <w:numId w:val="1"/>
        </w:numPr>
        <w:ind w:left="0" w:right="0" w:firstLine="851"/>
        <w:jc w:val="both"/>
        <w:rPr>
          <w:sz w:val="28"/>
        </w:rPr>
      </w:pPr>
      <w:r>
        <w:rPr>
          <w:sz w:val="28"/>
        </w:rPr>
        <w:t>При отсутствии технической возможности самостоятельно подать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>
      <w:pPr>
        <w:pStyle w:val="NormalWeb1"/>
        <w:widowControl w:val="false"/>
        <w:ind w:left="0" w:right="0" w:firstLine="851"/>
        <w:jc w:val="both"/>
        <w:rPr/>
      </w:pPr>
      <w:r>
        <w:rPr>
          <w:sz w:val="28"/>
        </w:rPr>
        <w:t>На Единой цифровой платформе в сфере занятости и трудовых отношений «Работа в России» (</w:t>
      </w:r>
      <w:hyperlink r:id="rId3">
        <w:r>
          <w:rPr>
            <w:rStyle w:val="ListLabel4"/>
            <w:color w:val="000000"/>
            <w:sz w:val="28"/>
          </w:rPr>
          <w:t>www.trudvsem.ru</w:t>
        </w:r>
      </w:hyperlink>
      <w:r>
        <w:rPr>
          <w:sz w:val="28"/>
        </w:rPr>
        <w:t xml:space="preserve"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доступе. </w:t>
      </w:r>
    </w:p>
    <w:p>
      <w:pPr>
        <w:pStyle w:val="Normal"/>
        <w:ind w:left="0" w:right="0" w:firstLine="851"/>
        <w:jc w:val="both"/>
        <w:rPr/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hyperlink r:id="rId4">
        <w:r>
          <w:rPr>
            <w:rStyle w:val="ListLabel5"/>
            <w:color w:val="000000"/>
            <w:spacing w:val="-4"/>
            <w:sz w:val="28"/>
          </w:rPr>
          <w:t>https://zan.donland.ru</w:t>
        </w:r>
      </w:hyperlink>
      <w:r>
        <w:rPr>
          <w:spacing w:val="-4"/>
          <w:sz w:val="28"/>
        </w:rPr>
        <w:t xml:space="preserve">) </w:t>
      </w:r>
      <w:r>
        <w:rPr>
          <w:sz w:val="28"/>
        </w:rPr>
        <w:t xml:space="preserve">или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  <w:br/>
        <w:t>8 (863): 244-22-56, 244-22-69, 244-22-63, 244-22-89</w:t>
      </w:r>
      <w:r>
        <w:rPr>
          <w:sz w:val="28"/>
        </w:rPr>
        <w:t xml:space="preserve">. </w:t>
      </w:r>
    </w:p>
    <w:p>
      <w:pPr>
        <w:pStyle w:val="NormalWeb1"/>
        <w:widowControl w:val="false"/>
        <w:ind w:left="0" w:right="0" w:firstLine="851"/>
        <w:jc w:val="both"/>
        <w:rPr>
          <w:sz w:val="28"/>
        </w:rPr>
      </w:pPr>
      <w:r>
        <w:rPr>
          <w:sz w:val="28"/>
        </w:rPr>
        <w:t>Специалисты службы занятости населения подберут подходящий вариант трудоустройства, окажут необходимую помощь при проведении собеседования с работодателем.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2. 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 приеме на работу (статьи 65, 66.1, 327.3 Трудового кодекса Российской Федерации):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1"/>
        <w:numPr>
          <w:ilvl w:val="0"/>
          <w:numId w:val="2"/>
        </w:numPr>
        <w:tabs>
          <w:tab w:val="left" w:pos="979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личность;</w:t>
      </w:r>
    </w:p>
    <w:p>
      <w:pPr>
        <w:pStyle w:val="ListParagraph1"/>
        <w:numPr>
          <w:ilvl w:val="0"/>
          <w:numId w:val="2"/>
        </w:numPr>
        <w:tabs>
          <w:tab w:val="left" w:pos="1009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трудовую книжку и (или) сведения о трудовой деятельности, кроме случая, когда трудовой договор заключается впервые.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>
      <w:pPr>
        <w:pStyle w:val="ListParagraph1"/>
        <w:numPr>
          <w:ilvl w:val="0"/>
          <w:numId w:val="2"/>
        </w:numPr>
        <w:tabs>
          <w:tab w:val="left" w:pos="1136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учета, в том числе в форме электронного;</w:t>
      </w:r>
    </w:p>
    <w:p>
      <w:pPr>
        <w:pStyle w:val="ListParagraph1"/>
        <w:numPr>
          <w:ilvl w:val="0"/>
          <w:numId w:val="2"/>
        </w:numPr>
        <w:tabs>
          <w:tab w:val="left" w:pos="1204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документы воинского учета - только в случаях, установленных федеральными законами, международными договорами РФ, указами Президента РФ, постановлениями Правительства РФ;</w:t>
      </w:r>
    </w:p>
    <w:p>
      <w:pPr>
        <w:pStyle w:val="ListParagraph1"/>
        <w:numPr>
          <w:ilvl w:val="0"/>
          <w:numId w:val="2"/>
        </w:numPr>
        <w:tabs>
          <w:tab w:val="left" w:pos="995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>
      <w:pPr>
        <w:pStyle w:val="ListParagraph1"/>
        <w:numPr>
          <w:ilvl w:val="0"/>
          <w:numId w:val="2"/>
        </w:numPr>
        <w:tabs>
          <w:tab w:val="left" w:pos="1103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Справка представляется при поступлении на работу, к выполнению которой в соответствии с законодательством России запрещено допускать лиц, имеющих или имевших судимость, подвергающихся или подвергавшихся уголовному преследованию.</w:t>
      </w:r>
    </w:p>
    <w:p>
      <w:pPr>
        <w:pStyle w:val="ListParagraph1"/>
        <w:numPr>
          <w:ilvl w:val="0"/>
          <w:numId w:val="2"/>
        </w:numPr>
        <w:tabs>
          <w:tab w:val="left" w:pos="1057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договор (полис) добровольного медицинского страхования, действующий на территории России;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(Письмо Минтруда России от 26 сентября 2016 года № 16-4/В-465).</w:t>
      </w:r>
    </w:p>
    <w:p>
      <w:pPr>
        <w:pStyle w:val="ListParagraph1"/>
        <w:numPr>
          <w:ilvl w:val="0"/>
          <w:numId w:val="2"/>
        </w:numPr>
        <w:tabs>
          <w:tab w:val="left" w:pos="1098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разрешение на работу или патент – при приеме на работу временно пребывающего в России иностранного гражданина;</w:t>
      </w:r>
    </w:p>
    <w:p>
      <w:pPr>
        <w:pStyle w:val="ListParagraph1"/>
        <w:numPr>
          <w:ilvl w:val="0"/>
          <w:numId w:val="2"/>
        </w:numPr>
        <w:tabs>
          <w:tab w:val="left" w:pos="1050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разрешение на  временное проживание в России – при приеме на работу временно проживающего в России иностранного гражданина;</w:t>
      </w:r>
    </w:p>
    <w:p>
      <w:pPr>
        <w:pStyle w:val="ListParagraph1"/>
        <w:numPr>
          <w:ilvl w:val="0"/>
          <w:numId w:val="2"/>
        </w:numPr>
        <w:tabs>
          <w:tab w:val="left" w:pos="1215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вид на жительство – при приеме на работу постоянно проживающего в России иностранного гражданина.</w:t>
      </w:r>
    </w:p>
    <w:p>
      <w:pPr>
        <w:pStyle w:val="Normal"/>
        <w:tabs>
          <w:tab w:val="left" w:pos="2353" w:leader="none"/>
          <w:tab w:val="left" w:pos="4207" w:leader="none"/>
          <w:tab w:val="left" w:pos="4778" w:leader="none"/>
          <w:tab w:val="left" w:pos="5797" w:leader="none"/>
          <w:tab w:val="left" w:pos="7289" w:leader="none"/>
          <w:tab w:val="left" w:pos="7928" w:leader="none"/>
          <w:tab w:val="left" w:pos="8798" w:leader="none"/>
        </w:tabs>
        <w:ind w:left="0" w:right="0" w:firstLine="851"/>
        <w:jc w:val="both"/>
        <w:rPr>
          <w:i/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 работодатель не вправе требовать от лица,</w:t>
      </w:r>
      <w:r>
        <w:rPr>
          <w:i/>
          <w:spacing w:val="-1"/>
          <w:sz w:val="28"/>
        </w:rPr>
        <w:t xml:space="preserve"> поступающего </w:t>
      </w:r>
      <w:r>
        <w:rPr>
          <w:i/>
          <w:sz w:val="28"/>
        </w:rPr>
        <w:t>на работу, документы, не предусмотренные законодательством России.</w:t>
      </w:r>
    </w:p>
    <w:p>
      <w:pPr>
        <w:pStyle w:val="Style16"/>
        <w:ind w:left="0" w:right="0" w:firstLine="851"/>
        <w:jc w:val="both"/>
        <w:rPr>
          <w:i/>
          <w:i/>
        </w:rPr>
      </w:pPr>
      <w:r>
        <w:rPr>
          <w:i/>
        </w:rPr>
      </w:r>
    </w:p>
    <w:p>
      <w:pPr>
        <w:pStyle w:val="1"/>
        <w:ind w:left="0" w:right="0" w:firstLine="851"/>
        <w:jc w:val="center"/>
        <w:rPr/>
      </w:pPr>
      <w:r>
        <w:rPr/>
        <w:t>3. Заключение трудового договора с иностранцем (статьи 57, 327.1, 327.2 Трудового кодекса Российской Федерации):</w:t>
      </w:r>
    </w:p>
    <w:p>
      <w:pPr>
        <w:pStyle w:val="1"/>
        <w:ind w:left="0" w:right="0" w:firstLine="851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ListParagraph1"/>
        <w:tabs>
          <w:tab w:val="left" w:pos="1036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 пункте 4 статьи 13 Закона Федерального закона от 25 июля 2002 года № 115-ФЗ «О правовом положении иностранных граждан в Российской Федерации».</w:t>
      </w:r>
    </w:p>
    <w:p>
      <w:pPr>
        <w:pStyle w:val="ListParagraph1"/>
        <w:tabs>
          <w:tab w:val="left" w:pos="1036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Трудовой договор заключается на русском языке и при необходимости может быть переведен на понятный иностранному гражданину язык.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>При приеме на работу трудовой договор с иностранным гражданином заключается в том же порядке, что и с работником – гражданином России.</w:t>
      </w:r>
    </w:p>
    <w:p>
      <w:pPr>
        <w:pStyle w:val="1"/>
        <w:ind w:left="0" w:right="0" w:firstLine="851"/>
        <w:jc w:val="both"/>
        <w:rPr/>
      </w:pPr>
      <w:r>
        <w:rPr/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>Однако дополнительно необходимо включить в трудовой договор:</w:t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1"/>
        <w:numPr>
          <w:ilvl w:val="0"/>
          <w:numId w:val="3"/>
        </w:numPr>
        <w:ind w:left="0" w:right="0" w:firstLine="851"/>
        <w:jc w:val="both"/>
        <w:rPr/>
      </w:pPr>
      <w:r>
        <w:rPr/>
        <w:t>для иностранцев, временно пребывающих на территории России:</w:t>
      </w:r>
    </w:p>
    <w:p>
      <w:pPr>
        <w:pStyle w:val="1"/>
        <w:numPr>
          <w:ilvl w:val="0"/>
          <w:numId w:val="4"/>
        </w:numPr>
        <w:jc w:val="both"/>
        <w:rPr/>
      </w:pPr>
      <w:r>
        <w:rPr/>
        <w:t>сведения о разрешении на работу или патенте;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Если для получения разрешения на работу необходимо заключить трудовой договор, то в него не получится сразу внести сведения о разрешении. Согласно правилам, установленным ч. 3 ст. 57 ТК РФ, указанные сведения вносятся в трудовой договор после получения разрешения на работу. При этом договор вступает в силу не ранее дня получения разрешения на работу.</w:t>
      </w:r>
    </w:p>
    <w:p>
      <w:pPr>
        <w:pStyle w:val="ListParagraph1"/>
        <w:numPr>
          <w:ilvl w:val="0"/>
          <w:numId w:val="5"/>
        </w:numPr>
        <w:tabs>
          <w:tab w:val="left" w:pos="883" w:leader="none"/>
        </w:tabs>
        <w:jc w:val="both"/>
        <w:rPr>
          <w:sz w:val="28"/>
        </w:rPr>
      </w:pPr>
      <w:r>
        <w:rPr>
          <w:sz w:val="28"/>
        </w:rPr>
        <w:t>условие о предоставлении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мед. организацией на предоставление работнику платных мед. услуг.</w:t>
      </w:r>
    </w:p>
    <w:p>
      <w:pPr>
        <w:pStyle w:val="Style16"/>
        <w:ind w:left="0" w:right="0" w:firstLine="851"/>
        <w:jc w:val="both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3"/>
        </w:numPr>
        <w:ind w:left="0" w:right="0" w:firstLine="851"/>
        <w:jc w:val="both"/>
        <w:rPr/>
      </w:pPr>
      <w:r>
        <w:rPr/>
        <w:t>для иностранцев, временно проживающих на территории России:</w:t>
      </w:r>
    </w:p>
    <w:p>
      <w:pPr>
        <w:pStyle w:val="ListParagraph1"/>
        <w:numPr>
          <w:ilvl w:val="0"/>
          <w:numId w:val="6"/>
        </w:numPr>
        <w:tabs>
          <w:tab w:val="left" w:pos="837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сведения о разрешении на временное проживание в России.</w:t>
      </w:r>
    </w:p>
    <w:p>
      <w:pPr>
        <w:pStyle w:val="ListParagraph1"/>
        <w:tabs>
          <w:tab w:val="left" w:pos="837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3"/>
        </w:numPr>
        <w:ind w:left="0" w:right="0" w:firstLine="851"/>
        <w:jc w:val="both"/>
        <w:rPr/>
      </w:pPr>
      <w:r>
        <w:rPr/>
        <w:t>для иностранцев, постоянно</w:t>
        <w:tab/>
        <w:t>проживающих на территории России:</w:t>
      </w:r>
    </w:p>
    <w:p>
      <w:pPr>
        <w:pStyle w:val="ListParagraph1"/>
        <w:numPr>
          <w:ilvl w:val="0"/>
          <w:numId w:val="6"/>
        </w:numPr>
        <w:tabs>
          <w:tab w:val="left" w:pos="837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сведения о виде на жительство.</w:t>
      </w:r>
    </w:p>
    <w:p>
      <w:pPr>
        <w:pStyle w:val="Style16"/>
        <w:ind w:left="0" w:right="0" w:firstLine="851"/>
        <w:jc w:val="both"/>
        <w:rPr>
          <w:sz w:val="22"/>
        </w:rPr>
      </w:pPr>
      <w:r>
        <w:rPr>
          <w:sz w:val="22"/>
        </w:rPr>
      </w:r>
    </w:p>
    <w:p>
      <w:pPr>
        <w:pStyle w:val="1"/>
        <w:ind w:left="0" w:right="0" w:firstLine="851"/>
        <w:jc w:val="center"/>
        <w:rPr/>
      </w:pPr>
      <w:r>
        <w:rPr/>
        <w:t>3.1 Срок трудового договора с иностранным гражданином: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Style16"/>
        <w:ind w:left="0" w:right="0" w:firstLine="851"/>
        <w:jc w:val="both"/>
        <w:rPr/>
      </w:pPr>
      <w:r>
        <w:rPr/>
        <w:t>Трудовой договор с иностранцем может быть заключен как на определенный срок, так и бессрочно.</w:t>
      </w:r>
    </w:p>
    <w:p>
      <w:pPr>
        <w:pStyle w:val="Style16"/>
        <w:tabs>
          <w:tab w:val="left" w:pos="1574" w:leader="none"/>
          <w:tab w:val="left" w:pos="2375" w:leader="none"/>
          <w:tab w:val="left" w:pos="3646" w:leader="none"/>
          <w:tab w:val="left" w:pos="4993" w:leader="none"/>
          <w:tab w:val="left" w:pos="6182" w:leader="none"/>
          <w:tab w:val="left" w:pos="7908" w:leader="none"/>
          <w:tab w:val="left" w:pos="8953" w:leader="none"/>
          <w:tab w:val="left" w:pos="9325" w:leader="none"/>
        </w:tabs>
        <w:ind w:left="0" w:right="0" w:firstLine="851"/>
        <w:jc w:val="both"/>
        <w:rPr/>
      </w:pPr>
      <w:r>
        <w:rPr/>
        <w:t>При</w:t>
        <w:tab/>
        <w:t>этом</w:t>
        <w:tab/>
        <w:t>срочный</w:t>
        <w:tab/>
        <w:t>трудовой</w:t>
        <w:tab/>
        <w:t>договор</w:t>
        <w:tab/>
        <w:t>заключается</w:t>
        <w:tab/>
        <w:t>только</w:t>
        <w:tab/>
        <w:t>в</w:t>
        <w:tab/>
      </w:r>
      <w:r>
        <w:rPr>
          <w:spacing w:val="-1"/>
        </w:rPr>
        <w:t xml:space="preserve">случаях, </w:t>
      </w:r>
      <w:r>
        <w:rPr/>
        <w:t>предусмотренных статьей 59 Трудового кодекса Российской Федерации.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 xml:space="preserve">Законодательство не предусматривает возможности и порядка продления срочного трудового договора, </w:t>
      </w:r>
      <w:r>
        <w:rPr>
          <w:i/>
          <w:spacing w:val="-1"/>
          <w:sz w:val="28"/>
        </w:rPr>
        <w:t>в</w:t>
      </w:r>
      <w:r>
        <w:rPr>
          <w:i/>
          <w:sz w:val="28"/>
        </w:rPr>
        <w:t>место этого с работником может быть заключен новый срочный трудовой договор, если есть основания (Письмо от 27 апреля 2021 года № 14-2/ООГ-3772).</w:t>
      </w:r>
    </w:p>
    <w:p>
      <w:pPr>
        <w:pStyle w:val="Style16"/>
        <w:ind w:left="0" w:right="0" w:firstLine="851"/>
        <w:jc w:val="both"/>
        <w:rPr>
          <w:i/>
          <w:i/>
          <w:sz w:val="16"/>
        </w:rPr>
      </w:pPr>
      <w:r>
        <w:rPr>
          <w:i/>
          <w:sz w:val="16"/>
        </w:rPr>
      </w:r>
    </w:p>
    <w:p>
      <w:pPr>
        <w:pStyle w:val="1"/>
        <w:ind w:left="0" w:right="0" w:firstLine="851"/>
        <w:jc w:val="center"/>
        <w:rPr/>
      </w:pPr>
      <w:r>
        <w:rPr/>
        <w:t>3.2 Уведомление о заключении трудовых договоров с иностранными гражданами: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Style16"/>
        <w:ind w:left="0" w:right="0" w:firstLine="851"/>
        <w:jc w:val="both"/>
        <w:rPr/>
      </w:pPr>
      <w:r>
        <w:rPr/>
        <w:t>Работодатель обязан уведомлять о заключении трудовых договоров с иностранными гражданами территориальный орган МВД России в муниципальном образовании, на территории которого они трудятся.</w:t>
      </w:r>
    </w:p>
    <w:p>
      <w:pPr>
        <w:pStyle w:val="Style16"/>
        <w:ind w:left="0" w:right="0" w:firstLine="851"/>
        <w:jc w:val="both"/>
        <w:rPr/>
      </w:pPr>
      <w:r>
        <w:rPr/>
        <w:t>Уведомление необходимо представить не позднее трех рабочих дней с даты заключения трудового договора.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Форма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утверждена Приложением № 7 к приказу МВД России от 30 июля 2020 года № 536.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</w:r>
    </w:p>
    <w:p>
      <w:pPr>
        <w:pStyle w:val="1"/>
        <w:ind w:left="0" w:right="0" w:firstLine="851"/>
        <w:jc w:val="center"/>
        <w:rPr/>
      </w:pPr>
      <w:r>
        <w:rPr/>
        <w:t>4. Портал «Госуслуги»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>В соответствии с законодательством Российской Федерации портал госуслуг (https://esia.gosuslugi.ru) предоставляет информацию об услугах и ведомствах из федерального реестра услуг.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>С помощью портала возможно:</w:t>
      </w:r>
    </w:p>
    <w:p>
      <w:pPr>
        <w:pStyle w:val="1"/>
        <w:numPr>
          <w:ilvl w:val="3"/>
          <w:numId w:val="7"/>
        </w:numPr>
        <w:jc w:val="both"/>
        <w:rPr>
          <w:b w:val="false"/>
          <w:b w:val="false"/>
        </w:rPr>
      </w:pPr>
      <w:r>
        <w:rPr>
          <w:b w:val="false"/>
        </w:rPr>
        <w:t>получить государственную услугу в электронном виде;</w:t>
      </w:r>
    </w:p>
    <w:p>
      <w:pPr>
        <w:pStyle w:val="1"/>
        <w:numPr>
          <w:ilvl w:val="3"/>
          <w:numId w:val="7"/>
        </w:numPr>
        <w:jc w:val="both"/>
        <w:rPr>
          <w:b w:val="false"/>
          <w:b w:val="false"/>
        </w:rPr>
      </w:pPr>
      <w:r>
        <w:rPr>
          <w:b w:val="false"/>
        </w:rPr>
        <w:t>получить информацию о государственной услуге, в том числе место получения, стоимость, сроки оказания и образцы документов;</w:t>
      </w:r>
    </w:p>
    <w:p>
      <w:pPr>
        <w:pStyle w:val="1"/>
        <w:numPr>
          <w:ilvl w:val="3"/>
          <w:numId w:val="7"/>
        </w:numPr>
        <w:jc w:val="both"/>
        <w:rPr>
          <w:b w:val="false"/>
          <w:b w:val="false"/>
        </w:rPr>
      </w:pPr>
      <w:r>
        <w:rPr>
          <w:b w:val="false"/>
        </w:rPr>
        <w:t>получить информацию о государственных и муниципальных учреждениях.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 xml:space="preserve">После регистрации на портале необходимо активировать свою учетную запись. Сделать это возможно только лично в любом офисе МФЦ при предъявлении документа, удостоверяющего личность и СНИЛС. 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ind w:left="0" w:right="0" w:firstLine="851"/>
        <w:jc w:val="center"/>
        <w:rPr/>
      </w:pPr>
      <w:r>
        <w:rPr/>
        <w:t>5. Брак и семья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устанавливает условия и порядок заключения брака.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 xml:space="preserve">Заключение брака подлежит государственной регистрации, порядок которой установлен Федеральным законом от 15.11.1997 № 143-ФЗ «Об актах гражданского состояния». 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смерть, перемена имени) осуществляется уполномоченными органами ЗАГС.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 xml:space="preserve">Государственную регистрацию актов гражданского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 органах записи актов гражданского состояния Ростовской области»). 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  <w:br/>
        <w:t>в г. Ростове-на-Дону, 12 – в городских округах, 42 – в муниципальных районах).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 осуществляет управление ЗАГС Ростовской области (г. Ростов-на-Дону, ул. Пушкинская, 91/70, тел. 240-95-98).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ind w:left="0" w:right="0" w:firstLine="851"/>
        <w:jc w:val="center"/>
        <w:rPr/>
      </w:pPr>
      <w:r>
        <w:rPr/>
        <w:t>6. Вопросы гражданства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NoSpacing1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5">
        <w:r>
          <w:rPr>
            <w:rStyle w:val="ListLabel6"/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31.05.2002 № 62-ФЗ «О гражданстве Российской Федерации», а также принимаемыми в соответствии с ними другими нормативными правовыми актами Российской Федерации.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органы, ведающие делами о гражданстве Российской Федерации, с соответствующим заявлением и документами, подтверждающими наличие конкретных оснований и условий по которым возможен прием в гражданство Российской Федерации.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Федерации иностранными гражданами и лицами без гражданства, является законное нахождение на территории Российской Федерации, имея определенный правовой статус - временно, либо постоянно проживающего лица.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Style12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>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документы, необходимые для рассмотрения вопроса об изменении гражданства, подается соискателем российского гражданства проживающим на территории Российской Федерации лично, в территориальный орган федерального органа исполнительной власти в сфере внутренних дел по месту жительства.</w:t>
      </w:r>
    </w:p>
    <w:p>
      <w:pPr>
        <w:pStyle w:val="NoSpacing1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 xml:space="preserve"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hyperlink r:id="rId6">
        <w:r>
          <w:rPr>
            <w:rStyle w:val="ListLabel7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Ростовской области размещена исчерпывающая информация по вопросам оформления разрешительных документов для осуществления иностранными гражданами, трудовой деятельности на территории Российской Федерации.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1"/>
        <w:ind w:left="0" w:right="0" w:firstLine="851"/>
        <w:jc w:val="center"/>
        <w:rPr/>
      </w:pPr>
      <w:r>
        <w:rPr/>
        <w:t>7. Миграционный учет иностранных граждан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установленной формы о прибытии иностранного гражданина или лица без гражданства в место пребывания.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 xml:space="preserve"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частью 2 статьи 21 Федерального закона от 18 июля 2006 г. N 109-ФЗ «О миграционном учете иностранных граждан и лиц без гражданства в Российской Федерации». 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помещение в пользование для фактического проживания иностранному гражданину или лицу без гражданства.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Принимающая сторона в течении семи рабочих с момента прибытия иностранного гражданина в место пребывания к уведомлению о прибытии, представляемому, лично в подразделение по вопросам миграции непосредственно либо через многофункциональный центр, прилагает: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 (или) имеются отметки о пересечении Государственной границы Российской Федерации либо иного иностранного государства.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копию документа, подтверждающего право пользования жилым или иным помещением, предоставляемым иностранному гражданину для фактического проживания.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вышеуказанных копий документов, прилагает: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письмо руководителя организации или иного 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(строении, сооружении), в том числе временном.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 случае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гражданина в Российской Федерации продлевается до одного года с даты его въезда в 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 случае неисполнения принимающей стороной обязанностей по постановке на миграционный учет по месту пребывания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Российской Федерации.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Иностранные граждане прибывшие в Российскую Федерацию в целях осуществления трудовой деятельности, подлежат обязательной дактилоскопической регистрации и фотографированию в течении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установленных федеральным органом исполнительной власти в сфере внутренних дел.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дактилоскопической регистрации и фотографирования.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ind w:left="0" w:right="0" w:firstLine="851"/>
        <w:jc w:val="center"/>
        <w:rPr/>
      </w:pPr>
      <w:r>
        <w:rPr/>
        <w:t>8. Информация для работодателей, привлекающих иностранных граждан для осуществления трудовой деятельности на территории Ростовской области</w:t>
      </w:r>
    </w:p>
    <w:p>
      <w:pPr>
        <w:pStyle w:val="NoSpacing1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Определение правового статуса иностранного гражданина и 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>
      <w:pPr>
        <w:pStyle w:val="NoSpacing1"/>
        <w:ind w:left="-490" w:right="0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Style w:val="Style_9"/>
        <w:tblW w:w="9672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4084"/>
        <w:gridCol w:w="2912"/>
      </w:tblGrid>
      <w:tr>
        <w:trPr>
          <w:trHeight w:val="543" w:hRule="atLeast"/>
        </w:trPr>
        <w:tc>
          <w:tcPr>
            <w:tcW w:w="9672" w:type="dxa"/>
            <w:gridSpan w:val="3"/>
            <w:tcBorders/>
            <w:shd w:fill="auto" w:val="clear"/>
          </w:tcPr>
          <w:p>
            <w:pPr>
              <w:pStyle w:val="ListParagraph1"/>
              <w:spacing w:before="120" w:after="0"/>
              <w:ind w:left="-108" w:right="-10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</w:tr>
      <w:tr>
        <w:trPr/>
        <w:tc>
          <w:tcPr>
            <w:tcW w:w="267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Перечень документов, подтверждающих законное нахождение на территории Российской Федерации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ind w:left="0" w:right="-10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>
        <w:trPr/>
        <w:tc>
          <w:tcPr>
            <w:tcW w:w="267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Временно пребывающие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Миграционная карта с отметкой о пересечении Государственной границы РФ (дата пересечения и пункт пограничного контроля)</w:t>
            </w:r>
            <w:r>
              <w:rPr>
                <w:rStyle w:val="Style12"/>
                <w:sz w:val="28"/>
              </w:rPr>
              <w:footnoteReference w:id="3"/>
            </w:r>
            <w:r>
              <w:rPr>
                <w:sz w:val="28"/>
              </w:rPr>
              <w:t xml:space="preserve">;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(о постановке на миграционный учет).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rPr/>
        <w:tc>
          <w:tcPr>
            <w:tcW w:w="267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Трудовые мигранты, прибывшие из других субъектов РФ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по прежнему адресу;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rPr/>
        <w:tc>
          <w:tcPr>
            <w:tcW w:w="267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Временно проживающие (РВП)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РВП и регистрации по месту жительства.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>
        <w:trPr>
          <w:trHeight w:val="1524" w:hRule="atLeast"/>
        </w:trPr>
        <w:tc>
          <w:tcPr>
            <w:tcW w:w="267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Постоянно проживающие (ВНЖ)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Вид на жительство, в котором проставлен штамп о регистрации по месту жительства. 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>
        <w:trPr/>
        <w:tc>
          <w:tcPr>
            <w:tcW w:w="267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rPr>
          <w:trHeight w:val="2180" w:hRule="atLeast"/>
        </w:trPr>
        <w:tc>
          <w:tcPr>
            <w:tcW w:w="267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>
            <w:pPr>
              <w:pStyle w:val="Normal"/>
              <w:tabs>
                <w:tab w:val="left" w:pos="263" w:leader="none"/>
              </w:tabs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>
        <w:trPr/>
        <w:tc>
          <w:tcPr>
            <w:tcW w:w="267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Граждане стран, участников Евразийского экономического союза (Беларусь, Армения, Казахстан, Кыргызстан)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удостоверение личности (пластиковая карта);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документов: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</w:r>
    </w:p>
    <w:tbl>
      <w:tblPr>
        <w:tblStyle w:val="Style_9"/>
        <w:tblW w:w="9673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6997"/>
      </w:tblGrid>
      <w:tr>
        <w:trPr/>
        <w:tc>
          <w:tcPr>
            <w:tcW w:w="26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Категория иностранных граждан</w:t>
            </w:r>
          </w:p>
        </w:tc>
      </w:tr>
      <w:tr>
        <w:trPr/>
        <w:tc>
          <w:tcPr>
            <w:tcW w:w="267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rStyle w:val="Style12"/>
                <w:sz w:val="28"/>
              </w:rPr>
              <w:footnoteReference w:id="4"/>
            </w:r>
          </w:p>
        </w:tc>
        <w:tc>
          <w:tcPr>
            <w:tcW w:w="6997" w:type="dxa"/>
            <w:tcBorders/>
            <w:shd w:fill="auto" w:val="clear"/>
          </w:tcPr>
          <w:p>
            <w:pPr>
              <w:pStyle w:val="NoSpac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>
            <w:pPr>
              <w:pStyle w:val="NoSpac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/>
                <w:sz w:val="28"/>
              </w:rPr>
              <w:t>вне пределов субъекта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>
        <w:trPr/>
        <w:tc>
          <w:tcPr>
            <w:tcW w:w="2675" w:type="dxa"/>
            <w:tcBorders/>
            <w:shd w:fill="auto" w:val="clear"/>
            <w:vAlign w:val="center"/>
          </w:tcPr>
          <w:p>
            <w:pPr>
              <w:pStyle w:val="ListParagraph1"/>
              <w:spacing w:before="120" w:after="0"/>
              <w:ind w:left="-108" w:right="-10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Spacing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>
        <w:trPr/>
        <w:tc>
          <w:tcPr>
            <w:tcW w:w="2675" w:type="dxa"/>
            <w:tcBorders/>
            <w:shd w:fill="auto" w:val="clear"/>
            <w:vAlign w:val="center"/>
          </w:tcPr>
          <w:p>
            <w:pPr>
              <w:pStyle w:val="ListParagraph1"/>
              <w:spacing w:before="120" w:after="0"/>
              <w:ind w:left="-108" w:right="-10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Spacing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получившие временное убежище на территории Российской Федерации (подтверждается свидетельством ВУ), - до утраты ими временного убежища или лишения их временного убежища</w:t>
            </w:r>
          </w:p>
        </w:tc>
      </w:tr>
      <w:tr>
        <w:trPr/>
        <w:tc>
          <w:tcPr>
            <w:tcW w:w="2675" w:type="dxa"/>
            <w:tcBorders/>
            <w:shd w:fill="auto" w:val="clear"/>
            <w:vAlign w:val="center"/>
          </w:tcPr>
          <w:p>
            <w:pPr>
              <w:pStyle w:val="ListParagraph1"/>
              <w:spacing w:before="120" w:after="0"/>
              <w:ind w:left="-108" w:right="-10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Статья 96 «Договор о Евразийском экономическом союзе» (подписан в г. Астане </w:t>
            </w:r>
          </w:p>
          <w:p>
            <w:pPr>
              <w:pStyle w:val="ListParagraph1"/>
              <w:spacing w:before="120" w:after="0"/>
              <w:ind w:left="-108" w:right="-10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29.05.2014 г.)</w:t>
            </w:r>
          </w:p>
        </w:tc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Spac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граждане Белоруссии, Казахстана, Киргизии и Армении (из стран, входящих в таможенный союз стран ЕАЭС)</w:t>
            </w:r>
          </w:p>
        </w:tc>
      </w:tr>
    </w:tbl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</w:r>
    </w:p>
    <w:p>
      <w:pPr>
        <w:pStyle w:val="NoSpacing1"/>
        <w:spacing w:before="12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>
      <w:pPr>
        <w:pStyle w:val="NoSpacing1"/>
        <w:spacing w:before="12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привлечения мигранта для работы в Ростовской области из другого региона Российской Федерации, уже имеющего патент (требуется получение нового патента на территории Ростовской области):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>
      <w:pPr>
        <w:pStyle w:val="NoSpacing1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уточнить дату получения имеющихся у него медицинских документов (медицинское заключение (с отметкой об отсутствии COVID-19), сертификат об отсутствии ВИЧ - инфекции, справка об отсутствии наркомании), срок действия медицинских документов 3 месяца с даты выдачи;</w:t>
      </w:r>
    </w:p>
    <w:p>
      <w:pPr>
        <w:pStyle w:val="NoSpacing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организации.</w:t>
      </w:r>
    </w:p>
    <w:p>
      <w:pPr>
        <w:pStyle w:val="NoSpacing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копию квитанции об оплате налога на доходы в ином регионе, убедиться, что налог оплачен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период, за который уплачен фиксированный авансовый платеж);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России. 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работодателя, так и для иностранного гражданина.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предусмотрена частью 1 ст. 18.10 КРФобАП и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юридического лица, допустившего к работе иностранного гражданина, предусмотрена административная ответственность частью 1 ст. 18.15 КРФобАП и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>
      <w:pPr>
        <w:pStyle w:val="NoSpacing1"/>
        <w:ind w:left="0" w:right="0" w:firstLine="417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 выдаче патента), в противном случае заявление о выдаче патента принято не будет;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оформления иностранному гражданину патента, выяснить имеется ли у него один из документов, подтверждающий владение русским языком, знании истории России и основ законодательства Российской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окончания срока их действия.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в паспорте (например: в паспорте 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хромов, а в аттестате об образовании 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образовательных организациях.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Таганрогская, 16, ул. Таганрогская, 33, пр. Стачки, 79/2, Извилистая, 19, ул. Баумана, 18/9, г. Таганрог, ул. Сергея Шило, 167/3 оф. 1 и ул. Чехова, 76.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</w:t>
      </w:r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Важно – в миграционной карте иностранных граждан при въезде на территорию Российской Федерации должна быть указана цель визита - «Работа».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9. Прибытие иностранных граждан на территорию Ростовской области и порядок постановки на миграционный учет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 течении 7-ми рабочих дней после прибытия иностранцев необходимо поставить их на учет по месту пребывания (миграционный учет).</w:t>
      </w:r>
    </w:p>
    <w:p>
      <w:pPr>
        <w:pStyle w:val="ListParagraph1"/>
        <w:ind w:left="0" w:righ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принимающей стороны также 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>
      <w:pPr>
        <w:pStyle w:val="ListParagraph1"/>
        <w:ind w:left="0" w:right="0" w:firstLine="851"/>
        <w:jc w:val="both"/>
        <w:rPr>
          <w:b/>
          <w:b/>
          <w:sz w:val="28"/>
          <w:u w:val="single"/>
        </w:rPr>
      </w:pPr>
      <w:r>
        <w:rPr>
          <w:b/>
          <w:sz w:val="28"/>
        </w:rPr>
        <w:t xml:space="preserve">Важно -  по юридическому адресу организации постановка на миграционный учет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Форма уведомления о прибытии иностранного гражданина в место пребывания и порядок постановки на учет по месту пребывания, утверждены приказом МВД России от 10.12.2020 № 856.</w:t>
      </w:r>
    </w:p>
    <w:p>
      <w:pPr>
        <w:pStyle w:val="ListParagraph1"/>
        <w:ind w:left="0" w:right="0" w:firstLine="851"/>
        <w:jc w:val="both"/>
        <w:rPr>
          <w:sz w:val="28"/>
        </w:rPr>
      </w:pPr>
      <w:r>
        <w:rPr>
          <w:sz w:val="28"/>
        </w:rPr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на миграционный учет в отрывной части уведомления проставляется уполномоченным сотрудником незамедлительно в день обращения.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 случае утраты или порчи миграционной карты, иностранный гражданин должен обратиться в течение 3-х рабочих дней в подразделение по вопросам миграции с паспортом и въездными билетами, для получения дубликата миграционной карты. Дубликат выдается бесплатно.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проставленным сотрудниками пограничного контроля в паспорте.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течении 3-х рабочих дней со дня выдачи, принимающая сторона обязаны подать в регистрационный орган новое уведомление о прибытии.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В случае убытия иностранного гражданина из места пребывания,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МФЦ либо направляется в установленном порядке почтовым отправлением.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>
      <w:pPr>
        <w:pStyle w:val="Normal"/>
        <w:ind w:left="0" w:right="0" w:firstLine="851"/>
        <w:jc w:val="both"/>
        <w:rPr/>
      </w:pPr>
      <w:r>
        <w:rPr>
          <w:b/>
          <w:sz w:val="28"/>
        </w:rPr>
        <w:t>В соответствии с частью 4 статьи 18.9 КРФобАП </w:t>
      </w:r>
      <w:r>
        <w:rPr>
          <w:sz w:val="28"/>
        </w:rPr>
        <w:t xml:space="preserve">- неисполнение принимающей стороной </w:t>
      </w:r>
      <w:hyperlink r:id="rId7">
        <w:r>
          <w:rPr>
            <w:rStyle w:val="ListLabel1"/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Примечание:</w:t>
      </w:r>
      <w:r>
        <w:rPr>
          <w:sz w:val="28"/>
        </w:rPr>
        <w:t xml:space="preserve">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>
      <w:pPr>
        <w:pStyle w:val="NoSpacing1"/>
        <w:widowControl w:val="false"/>
        <w:ind w:left="851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widowControl w:val="false"/>
        <w:ind w:left="851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 xml:space="preserve">представляет лично </w:t>
      </w:r>
      <w:r>
        <w:rPr>
          <w:sz w:val="28"/>
        </w:rPr>
        <w:t>в отдел по вопросам трудовой миграции УВМ ГУ МВД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ул. Таганрогская, 33, следующие документы:</w:t>
      </w:r>
    </w:p>
    <w:p>
      <w:pPr>
        <w:pStyle w:val="NoSpacing1"/>
        <w:widowControl w:val="false"/>
        <w:numPr>
          <w:ilvl w:val="0"/>
          <w:numId w:val="9"/>
        </w:numPr>
        <w:tabs>
          <w:tab w:val="left" w:pos="851" w:leader="none"/>
        </w:tabs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выдаче патента в одном экземпляре. (Приложение № 1 к приказу МВД РФ от 14 августа 2017 г. № 635).</w:t>
      </w:r>
    </w:p>
    <w:p>
      <w:pPr>
        <w:pStyle w:val="NoSpacing1"/>
        <w:widowControl w:val="false"/>
        <w:ind w:left="0" w:right="0" w:firstLine="851"/>
        <w:jc w:val="both"/>
        <w:rPr/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8">
        <w:r>
          <w:rPr>
            <w:rStyle w:val="ListLabel7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должны быть заполнены все необходимые графы, а также в верхнем углу вклеена фотография.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 3х4 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качестве (паспорт со сроком действия не менее одного года на момент подачи заявления);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sz w:val="28"/>
        </w:rPr>
        <w:t>Медицинские документы.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об оформлении патента вправе предоставить: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Квитанции об оплате налога за патент, выданный на территории другого субъекта РФ (в случае его действительности).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>
      <w:pPr>
        <w:pStyle w:val="NoSpacing1"/>
        <w:widowControl w:val="false"/>
        <w:ind w:left="0" w:right="0"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Срок предоставления государственной услуги. Выдача патента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 w:val="false"/>
        <w:numPr>
          <w:ilvl w:val="0"/>
          <w:numId w:val="10"/>
        </w:numPr>
        <w:ind w:left="0" w:right="0" w:firstLine="851"/>
        <w:jc w:val="both"/>
        <w:rPr>
          <w:b/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>
      <w:pPr>
        <w:pStyle w:val="ConsPlusNormal1"/>
        <w:widowControl w:val="false"/>
        <w:ind w:left="0" w:right="0" w:firstLine="851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ConsPlusNormal1"/>
        <w:widowControl w:val="false"/>
        <w:ind w:left="0" w:right="0" w:firstLine="851"/>
        <w:jc w:val="both"/>
        <w:rPr/>
      </w:pPr>
      <w:r>
        <w:rPr/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rPr/>
        <w:t xml:space="preserve"> со дня принятия от иностранного гражданина заявления о выдаче патента.</w:t>
      </w:r>
    </w:p>
    <w:p>
      <w:pPr>
        <w:pStyle w:val="ConsPlusNormal1"/>
        <w:widowControl w:val="false"/>
        <w:ind w:left="0" w:right="0" w:firstLine="851"/>
        <w:jc w:val="both"/>
        <w:rPr/>
      </w:pPr>
      <w:r>
        <w:rPr/>
        <w:t xml:space="preserve">Срок оформления и выдачи иностранному гражданину дубликата патента - </w:t>
        <w:br/>
      </w:r>
      <w:r>
        <w:rPr>
          <w:b/>
          <w:u w:val="single"/>
        </w:rPr>
        <w:t>3 рабочих дня</w:t>
      </w:r>
      <w:r>
        <w:rPr/>
        <w:t xml:space="preserve"> со дня обращения заявителя в подразделение по вопросам миграции с соответствующим заявлением.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b/>
          <w:sz w:val="28"/>
        </w:rPr>
        <w:t xml:space="preserve">Срок действия патента считается продленным на период, за который уплачен налог на доходы физических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 необходимо его переоформить (продлить). Срок продлений патента неограничен (два, три года и т.д.).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ListParagraph1"/>
        <w:numPr>
          <w:ilvl w:val="0"/>
          <w:numId w:val="10"/>
        </w:numPr>
        <w:ind w:left="0" w:right="0" w:firstLine="851"/>
        <w:jc w:val="both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предъявлении документа, удостоверяющего его личность (паспорт + его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установленного на территории Ростовской области) на период действия патента.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коэффициентом - 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государственная дактилоскопическая регистрация и фотографирование иностранного гражданина.</w:t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>
      <w:pPr>
        <w:pStyle w:val="NoSpacing1"/>
        <w:widowControl w:val="false"/>
        <w:jc w:val="center"/>
        <w:rPr>
          <w:rFonts w:ascii="Times New Roman" w:hAnsi="Times New Roman"/>
          <w:b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</w:r>
    </w:p>
    <w:p>
      <w:pPr>
        <w:pStyle w:val="NoSpacing1"/>
        <w:widowControl w:val="false"/>
        <w:jc w:val="center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Работодатели,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 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 дней с даты заключения или прекращения (расторжения) соответствующего договора.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прошивать и пронумеровывать листы уведомлений, состоящих из двух и более листов, о чем на обороте последнего листа формы уведомлений необходимо делать заверительную запись. Игнорирование этого правила расценивается как нарушение формы подачи указанных уведомлений.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уведомление можно, выбрав один из равнозначных способов: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r>
        <w:rPr>
          <w:rFonts w:ascii="Times New Roman" w:hAnsi="Times New Roman"/>
          <w:b/>
          <w:sz w:val="28"/>
        </w:rPr>
        <w:t>Гос.услугах</w:t>
      </w:r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направить почтовым отправлением с описью вложения и уведомлением о вручении по адресу: 344001, г. Ростов-на-Дону, ул. Песчаная, 21. В этом случае датой подачи уведомления будет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по адресу: г. Ростов-на-Дону, ул. Таганрогская, 33.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>
      <w:pPr>
        <w:pStyle w:val="NoSpacing1"/>
        <w:widowControl w:val="false"/>
        <w:ind w:left="0" w:right="0"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10. Основания для отказа в выдаче патента, аннулирования ранее выданного патента</w:t>
      </w:r>
    </w:p>
    <w:p>
      <w:pPr>
        <w:pStyle w:val="Normal"/>
        <w:ind w:left="0" w:right="0" w:firstLine="851"/>
        <w:jc w:val="both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1.4. 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 либо в течение десяти лет, предшествовавших дню подачи заявления о предоставлении государственной услуги,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1.5. Представил поддельные или подложные документы либо сообщил о себе заведомо ложные сведения.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1.6. Осужден вступившим в законную силу приговором суда за совершение преступления.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1.8.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шести месяцев.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 - инфекции), либо страдает одним из инфекционных заболеваний, которые представляют опасность для окружающих.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1.13. Передавался иностранным государством Российской Федерации в соответствии с международным договором Российской Федерации о реадмиссии.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1.14. Не указал в миграционной карте работу как цель визита в Российскую Федерацию.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2. В отношении заявителя принято решение о нежелательности пребывания (проживания) в Российской Федерации или неразрешении въезда в Российскую Федерацию.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4. Отсутствуют сведения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5. Отсутствуют сведения 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вопросам миграции сведений об осуществлении иностранным гражданином трудовой деятельности в период действия патента.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11. Порядок пребывания и осуществления трудовой деятельности на территории Российской Федерации иностранных граждан, прибывших из государств – участников договора о Евразийском экономическом союзе</w:t>
      </w:r>
    </w:p>
    <w:p>
      <w:pPr>
        <w:pStyle w:val="Normal"/>
        <w:ind w:left="0" w:right="0" w:firstLine="851"/>
        <w:jc w:val="center"/>
        <w:rPr>
          <w:sz w:val="28"/>
        </w:rPr>
      </w:pPr>
      <w:r>
        <w:rPr>
          <w:sz w:val="28"/>
        </w:rPr>
        <w:t>(заключен в г. Астана, 29 мая 2014 года)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Российская Федерация.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>без разрешительных документов (патентов, разрешений на работу, РВП) на основании заключенных трудовых договоров с работодателями</w:t>
      </w:r>
      <w:r>
        <w:rPr>
          <w:sz w:val="28"/>
        </w:rPr>
        <w:t>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>в течение 30 суток с даты въезда</w:t>
      </w:r>
      <w:r>
        <w:rPr>
          <w:sz w:val="28"/>
        </w:rPr>
        <w:t>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 xml:space="preserve">свыше 30 суток </w:t>
      </w:r>
      <w:r>
        <w:rPr>
          <w:sz w:val="28"/>
        </w:rPr>
        <w:t>с даты въезда, эти граждане обязаны зарегистрироваться (встать на учет).</w:t>
      </w:r>
    </w:p>
    <w:p>
      <w:pPr>
        <w:pStyle w:val="Normal"/>
        <w:ind w:left="0" w:right="0" w:firstLine="851"/>
        <w:jc w:val="both"/>
        <w:rPr/>
      </w:pPr>
      <w:r>
        <w:rPr>
          <w:sz w:val="28"/>
        </w:rPr>
        <w:t>На официальном сайте ГУ МВД России по Ростовской области (</w:t>
      </w:r>
      <w:hyperlink r:id="rId9">
        <w:r>
          <w:rPr>
            <w:rStyle w:val="ListLabel4"/>
            <w:color w:val="000000"/>
            <w:sz w:val="28"/>
          </w:rPr>
          <w:t>https://61.мвд.рф</w:t>
        </w:r>
      </w:hyperlink>
      <w:r>
        <w:rPr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 xml:space="preserve">» имеются нормативно правовые акты, регулирующие предоставление государственной услуги по оформлению патентов, а также формы всех заявлений с образцами заполнения.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>
      <w:pPr>
        <w:pStyle w:val="Normal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12. Информация об охране здоровья и личной гигиене человека, социально значимых заболеваниях и прививках</w:t>
      </w:r>
    </w:p>
    <w:p>
      <w:pPr>
        <w:pStyle w:val="Normal"/>
        <w:ind w:left="0" w:right="0" w:firstLine="851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12.1. Профилактика острых кишечных инфекций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Группа кишечных инфекций – это заболевания, объединённые сходным характером клинических проявлений в виде нарушения работы желудочно-кишечного тракта и признаками интоксикации. К ним относятся брюшной тиф, паратифы А и В, дизентерия, пищевые токсикоинфекции, ботулизм, холера, вирусный гепатит А, кишечные вирусные инфекции и др. У больных отмечаются следующие симптомы: боли в животе, вздутие, тошнота, рвота и жидкий стул одно - или многократный, в т.ч. и с патологическими примесями – слизью, прожилками крови.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Большинство инфекционных болезней с фекально - оральным механизмом протекает с повышенной температурой тела. При одних болезнях подъем температуры может быть внезапным, сопровождающимся ознобом, потом, головной болью, либо постепенным, в диапазоне 37-39,5 оС. Вместе с подъемом температуры появляются и другие признаки интоксикационного характера: общее недомогание и слабость, бледность, одышка, синюшность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окрашиванием склер и кожных покровов (вирусный гепатит А). В тяжелых случаях могут быть общая оглушенность, бред, потеря сознания.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Основные меры  профилактики: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тщательно мыть овощи и фрукты под проточной водой и обдавать их кипятком перед употреблением в пищу;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не приобретать ягоды, фрукты, овощи с признаками порчи;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- разливное молоко употреблять только после кипячения;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при покупке скоропортящейся продукции обращать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при приготовлении пищи в домашних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использовать для питья кипяченую или бутилированную воду, не употреблять воду из «случайных» источников;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защищать от мух пищевые продукты, сразу мыть грязную посуду;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в целях борьбы с мухами следует засетчивать оконные проемы сеткой;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купаться только в разрешенных местах, при купании в водоемах не допускать заглатывания воды;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регулярно опорожнять и мыть емкости для сбора бытовых отходов;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регулярно удалять нечистоты и проводить дезинфекцию уборных, помойных ям;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ни в коем случае не заниматься самолечением и при появлении симптомов кишечной инфекции (тошнота, рвота, жидкий стул, подъем температуры, головная боль) немедленно обратиться к врачу.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12.2. Социально значимые заболевания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Профилактика ВИЧ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 - инфекции является синдром приобретенного иммунодефицита (СПИД), при котором иммунная система полностью истощается. СПИД относится к числу 5 главных болезней - убийц, уносящих наибольшее число жизней на нашей планете.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Как можно заразиться ВИЧ: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ВИЧ не передается при прикосновениях, объятиях, рукопожатиях, поцелуях, использовании общего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Показания для обследования на ВИЧ – инфекцию: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Лихорадка более 1 месяца, диарея более 1 месяца, необъяснимая потеря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групп, подострый энцефалит, слабоумие у ранее здоровых людей и другие.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заболевания и продлить жизнь.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Чтобы избежать ВИЧ - инфекции, нужно:</w:t>
      </w:r>
    </w:p>
    <w:p>
      <w:pPr>
        <w:pStyle w:val="Normal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заниматься безопасным сексом, т.е. использовать презервативы;</w:t>
      </w:r>
    </w:p>
    <w:p>
      <w:pPr>
        <w:pStyle w:val="Normal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избегать гомосексуальных связей;</w:t>
      </w:r>
    </w:p>
    <w:p>
      <w:pPr>
        <w:pStyle w:val="Normal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не применять внутривенные наркотики, поскольку наркоманы используют, как правило, один шприц на несколько человек; </w:t>
      </w:r>
    </w:p>
    <w:p>
      <w:pPr>
        <w:pStyle w:val="Normal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быть предельно бдительным при получении медицинских услуг (не допускать использования нестерильных медицинских инструментов).</w:t>
      </w:r>
    </w:p>
    <w:p>
      <w:pPr>
        <w:pStyle w:val="Normal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маникюр и педикюр делать только у тех специалистов, которым очень доверяете, которые тщательно обрабатывают свой инструмент.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Туберкулез и его профилактика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ослабленным иммунитетом. Возбудитель туберкулеза – микобактерия, очень 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5 минут, при t 600 С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  <w:u w:val="single"/>
        </w:rPr>
        <w:t>Источник инфекции</w:t>
      </w:r>
      <w:r>
        <w:rPr>
          <w:sz w:val="28"/>
        </w:rPr>
        <w:t xml:space="preserve"> – больной человек, реже крупный рогатый скот, птицы.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воздушно-капельный вдыхание зараженной пыли, капелек мокроты, выделяющихся от больного  при разговоре, чихании, кашле;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пищевой – употребление в пищу зараженных продуктов (молоко, сметана, творог);</w:t>
      </w:r>
    </w:p>
    <w:p>
      <w:pPr>
        <w:pStyle w:val="Normal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контактно  - бытовой – через поврежденную кожу и слизистые оболочки;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Факторы, способствующие заболеванию туберкулезом: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неблагоприятные социальные и экологические условия жизни;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неполноценное питание, стрессы;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алкоголизм, курение, наркомания;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сопутствующие заболевания (диабет, язвенная болезнь желудка, двенадцатиперстной кишки, заболевания легких) и др.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Признаки, требующие обращения к врачу: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быстрая утомляемость, общая слабость;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потеря аппетита;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одышка при небольших физических нагрузках;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длительный кашель и повышение температуры тела до 37,1 – 37,50С;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потливость (особенно по ночам), потеря веса и пр.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Профилактика:отказ от вредных привычек, соблюдение правил личной гигиены, иммунизация в детском возрасте, постановка туберкулиновых проб, регулярное флюорографическое обследование, соблюдение гигиены жилища, физическая активность, полноценное питание, чистый воздух и солнечный свет, ограничение контакта с больным.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(сердечно-сосудистой системы, желудка, печени), костно - суставной и нервной систем. Возбудителем сифилиса является бледная трепонема или бледная спирохета - микроб. Гонорея – характеризуется поражением слизистых оболочек мочеполовых органов, но могут поражаться слизистая прямой кишки, конъюктива  (бленнорея). Возбудителем гонореи является грамотрицательный диплококк – гонококк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Половой путь передачи – наиболее частый и типичный путь инфицирования.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Трансплацентарный путь передачи: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при сифилисе – это передача от больной матери плоду через плаценту.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при гонореи – возможно инфицирование новорожденных во время прохождения через родовые пути матери.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Бытовой путь передачи – возбудитель сифилиса вне организма во влажной среде может жить несколько часов, а при высушивании быстро погибает.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Трансфузионный путь передачи – при переливании крови от донора, больного сифилисом в любой стадии.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Источником инфекции является больной человек. 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Инкубационный период колеблется: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- при гонореи – у мужчин - колеблется от 2 до 5 суток, у женщин – от 5 до 10 суток. 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Профилактика: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исключение случайных половых контактов, незащищенных половых контактов;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использование барьерных методов контрацепции при половых контактах;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соблюдение личной и половой гигиены.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Если человек знает о своем заболевании – он обязательно должен предупредить своего партнера о своей болезни. Заболевания могут протекать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специализированной медицинской помощи больным проводится врачами - дерматовенерологами.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Вакцинация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гепатита В,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здравоохранения Российской Федерации 06.12.2021 № 1122н.</w:t>
      </w:r>
    </w:p>
    <w:p>
      <w:pPr>
        <w:pStyle w:val="Normal"/>
        <w:ind w:left="0" w:right="0" w:firstLine="851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6"/>
        <w:ind w:left="0" w:right="0" w:hanging="0"/>
        <w:jc w:val="both"/>
        <w:rPr/>
      </w:pPr>
      <w:r>
        <w:rPr/>
      </w:r>
    </w:p>
    <w:p>
      <w:pPr>
        <w:pStyle w:val="Style16"/>
        <w:ind w:left="0" w:right="0" w:firstLine="851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 xml:space="preserve">Указанная информация не является официальными разъяснениями нормативно - правовым актам. </w:t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  <w:t>По возникшим вопросам необходимо обращаться:</w:t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1"/>
        <w:ind w:left="0" w:right="0" w:firstLine="851"/>
        <w:rPr>
          <w:u w:val="single"/>
        </w:rPr>
      </w:pPr>
      <w:r>
        <w:rPr>
          <w:u w:val="single"/>
        </w:rPr>
        <w:t>Контакты Государственной инспекции труда в Ростовской области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0" w:firstLine="851"/>
        <w:jc w:val="both"/>
        <w:rPr/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0">
        <w:r>
          <w:rPr>
            <w:rStyle w:val="ListLabel1"/>
            <w:sz w:val="28"/>
          </w:rPr>
          <w:t>https://git61.rostrud.gov.ru/</w:t>
        </w:r>
      </w:hyperlink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>
      <w:pPr>
        <w:pStyle w:val="Normal"/>
        <w:ind w:left="0" w:right="0" w:firstLine="851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пр. Ворошиловский 87/65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 xml:space="preserve">Фактический и почтовый адрес: </w:t>
      </w:r>
      <w:r>
        <w:rPr>
          <w:sz w:val="28"/>
        </w:rPr>
        <w:t>344003, Ростовская обл., г. Ростов-на-Дону пр. Ворошиловский 87/65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Понедельник, среда и пятница - с 8:30 до 13:00;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/>
        <w:t>Телефон горячей линии:</w:t>
      </w:r>
      <w:r>
        <w:rPr>
          <w:b w:val="false"/>
        </w:rPr>
        <w:t xml:space="preserve"> 8 (863) 210 88 18.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>График работы телефонов горячих линий с 8:30 до 21:00.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0" w:firstLine="851"/>
        <w:jc w:val="both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Телефоны Управления по вопросам миграции для консультаций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1) 8 (863)273-28-33 – отдел по вопросам трудовой миграции (патенты, разрешения на работу);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2) 8 (863)249-16-12 – отдел иммиграционного контроля (незаконное нахождение ИГ в РФ);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3) 8 (863)249-39-75 – отдел оформления виз приглашений, разрешений и регистрации иностранных граждан (миграционный учет);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4) 8 (863)249-10-83 отдел по оформлению разрешений на временное проживание и видов на жительство (РВП, ВНЖ, визы);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5) 8 (863)249-15-08 – отдел по вопросам гражданства.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Normal"/>
        <w:ind w:left="0" w:right="0" w:firstLine="851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000" w:right="420" w:header="0" w:top="6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1"/>
        <w:rPr/>
      </w:pPr>
      <w:r>
        <w:rPr>
          <w:rStyle w:val="Style11"/>
        </w:rPr>
        <w:footnoteRef/>
      </w:r>
      <w:r>
        <w:rPr>
          <w:vertAlign w:val="superscript"/>
        </w:rPr>
        <w:tab/>
      </w:r>
      <w:r>
        <w:rPr/>
        <w:t xml:space="preserve"> </w:t>
      </w:r>
      <w:r>
        <w:rPr/>
        <w:t>Далее – Положение</w:t>
      </w:r>
    </w:p>
  </w:footnote>
  <w:footnote w:id="3">
    <w:p>
      <w:pPr>
        <w:pStyle w:val="Footnote1"/>
        <w:rPr/>
      </w:pPr>
      <w:r>
        <w:rPr>
          <w:rStyle w:val="Style11"/>
        </w:rPr>
        <w:footnoteRef/>
      </w:r>
      <w:r>
        <w:rPr>
          <w:vertAlign w:val="superscript"/>
        </w:rPr>
        <w:tab/>
      </w:r>
      <w:r>
        <w:rPr/>
        <w:t xml:space="preserve"> </w:t>
      </w:r>
      <w:r>
        <w:rPr/>
        <w:t>Далее – «Миграционная карта».</w:t>
      </w:r>
    </w:p>
  </w:footnote>
  <w:footnote w:id="4">
    <w:p>
      <w:pPr>
        <w:pStyle w:val="Footnote1"/>
        <w:rPr/>
      </w:pPr>
      <w:r>
        <w:rPr>
          <w:rStyle w:val="Style11"/>
        </w:rPr>
        <w:footnoteRef/>
      </w:r>
      <w:r>
        <w:rPr>
          <w:vertAlign w:val="superscript"/>
        </w:rPr>
        <w:tab/>
      </w:r>
      <w:r>
        <w:rPr/>
        <w:t xml:space="preserve"> </w:t>
      </w:r>
      <w:r>
        <w:rPr/>
        <w:t>Далее «ФЗ № 115-ФЗ».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978" w:hanging="305"/>
      </w:pPr>
      <w:rPr>
        <w:sz w:val="28"/>
      </w:rPr>
    </w:lvl>
    <w:lvl w:ilvl="1">
      <w:start w:val="1"/>
      <w:numFmt w:val="bullet"/>
      <w:lvlText w:val=""/>
      <w:lvlJc w:val="left"/>
      <w:pPr>
        <w:ind w:left="1930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1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31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2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33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83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34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5" w:hanging="305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133" w:hanging="209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ind w:left="1174" w:hanging="2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9" w:hanging="2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3" w:hanging="2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2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2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7" w:hanging="2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2" w:hanging="2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17" w:hanging="209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77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6_ch"/>
    <w:uiPriority w:val="9"/>
    <w:qFormat/>
    <w:pPr>
      <w:ind w:left="133" w:right="0" w:hanging="0"/>
      <w:outlineLvl w:val="0"/>
    </w:pPr>
    <w:rPr>
      <w:b/>
      <w:sz w:val="28"/>
    </w:rPr>
  </w:style>
  <w:style w:type="paragraph" w:styleId="2">
    <w:name w:val="Heading 2"/>
    <w:basedOn w:val="Normal"/>
    <w:link w:val="Style_35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7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Heading 4"/>
    <w:basedOn w:val="Normal"/>
    <w:link w:val="Style_34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21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</w:rPr>
  </w:style>
  <w:style w:type="character" w:styleId="Standard" w:default="1">
    <w:name w:val="Standard"/>
    <w:link w:val="Style_11"/>
    <w:qFormat/>
    <w:rPr>
      <w:rFonts w:ascii="Times New Roman" w:hAnsi="Times New Roman"/>
    </w:rPr>
  </w:style>
  <w:style w:type="character" w:styleId="Contents2">
    <w:name w:val="Contents 2"/>
    <w:link w:val="Style_12"/>
    <w:qFormat/>
    <w:rPr/>
  </w:style>
  <w:style w:type="character" w:styleId="Contents4">
    <w:name w:val="Contents 4"/>
    <w:link w:val="Style_13"/>
    <w:qFormat/>
    <w:rPr/>
  </w:style>
  <w:style w:type="character" w:styleId="ListParagraph">
    <w:name w:val="List Paragraph"/>
    <w:basedOn w:val="Standard"/>
    <w:link w:val="Style_5"/>
    <w:qFormat/>
    <w:rPr/>
  </w:style>
  <w:style w:type="character" w:styleId="Textbody">
    <w:name w:val="Text body"/>
    <w:basedOn w:val="Standard"/>
    <w:link w:val="Style_1"/>
    <w:qFormat/>
    <w:rPr>
      <w:sz w:val="28"/>
    </w:rPr>
  </w:style>
  <w:style w:type="character" w:styleId="Contents6">
    <w:name w:val="Contents 6"/>
    <w:link w:val="Style_14"/>
    <w:qFormat/>
    <w:rPr/>
  </w:style>
  <w:style w:type="character" w:styleId="Contents7">
    <w:name w:val="Contents 7"/>
    <w:link w:val="Style_15"/>
    <w:qFormat/>
    <w:rPr/>
  </w:style>
  <w:style w:type="character" w:styleId="NormalWeb">
    <w:name w:val="Normal (Web)"/>
    <w:basedOn w:val="Standard"/>
    <w:link w:val="Style_2"/>
    <w:qFormat/>
    <w:rPr>
      <w:sz w:val="24"/>
    </w:rPr>
  </w:style>
  <w:style w:type="character" w:styleId="11">
    <w:name w:val="Основной шрифт абзаца1"/>
    <w:link w:val="Style_16"/>
    <w:qFormat/>
    <w:rPr/>
  </w:style>
  <w:style w:type="character" w:styleId="Heading3">
    <w:name w:val="Heading 3"/>
    <w:link w:val="Style_17"/>
    <w:qFormat/>
    <w:rPr>
      <w:rFonts w:ascii="XO Thames" w:hAnsi="XO Thames"/>
      <w:b/>
      <w:i/>
    </w:rPr>
  </w:style>
  <w:style w:type="character" w:styleId="NoSpacing">
    <w:name w:val="No Spacing"/>
    <w:link w:val="Style_7"/>
    <w:qFormat/>
    <w:rPr>
      <w:rFonts w:ascii="Calibri" w:hAnsi="Calibri"/>
    </w:rPr>
  </w:style>
  <w:style w:type="character" w:styleId="Contents3">
    <w:name w:val="Contents 3"/>
    <w:link w:val="Style_18"/>
    <w:qFormat/>
    <w:rPr/>
  </w:style>
  <w:style w:type="character" w:styleId="12">
    <w:name w:val="Строгий1"/>
    <w:basedOn w:val="11"/>
    <w:link w:val="Style_3"/>
    <w:qFormat/>
    <w:rPr>
      <w:b/>
    </w:rPr>
  </w:style>
  <w:style w:type="character" w:styleId="BalloonText">
    <w:name w:val="Balloon Text"/>
    <w:basedOn w:val="Standard"/>
    <w:link w:val="Style_19"/>
    <w:qFormat/>
    <w:rPr>
      <w:rFonts w:ascii="Tahoma" w:hAnsi="Tahoma"/>
      <w:sz w:val="16"/>
    </w:rPr>
  </w:style>
  <w:style w:type="character" w:styleId="Toc10">
    <w:name w:val="toc 10"/>
    <w:link w:val="Style_20"/>
    <w:qFormat/>
    <w:rPr/>
  </w:style>
  <w:style w:type="character" w:styleId="Heading5">
    <w:name w:val="Heading 5"/>
    <w:link w:val="Style_21"/>
    <w:qFormat/>
    <w:rPr>
      <w:rFonts w:ascii="XO Thames" w:hAnsi="XO Thames"/>
      <w:b/>
    </w:rPr>
  </w:style>
  <w:style w:type="character" w:styleId="Heading1">
    <w:name w:val="Heading 1"/>
    <w:basedOn w:val="Standard"/>
    <w:link w:val="Style_6"/>
    <w:qFormat/>
    <w:rPr>
      <w:b/>
      <w:sz w:val="28"/>
    </w:rPr>
  </w:style>
  <w:style w:type="character" w:styleId="Style9">
    <w:name w:val="Интернет-ссылка"/>
    <w:link w:val="Style_22"/>
    <w:rPr>
      <w:color w:val="0000FF"/>
      <w:u w:val="single"/>
    </w:rPr>
  </w:style>
  <w:style w:type="character" w:styleId="Footnote">
    <w:name w:val="Footnote"/>
    <w:basedOn w:val="Standard"/>
    <w:link w:val="Style_23"/>
    <w:qFormat/>
    <w:rPr>
      <w:sz w:val="20"/>
    </w:rPr>
  </w:style>
  <w:style w:type="character" w:styleId="Contents1">
    <w:name w:val="Contents 1"/>
    <w:link w:val="Style_24"/>
    <w:qFormat/>
    <w:rPr>
      <w:rFonts w:ascii="XO Thames" w:hAnsi="XO Thames"/>
      <w:b/>
    </w:rPr>
  </w:style>
  <w:style w:type="character" w:styleId="HeaderandFooter">
    <w:name w:val="Header and Footer"/>
    <w:link w:val="Style_25"/>
    <w:qFormat/>
    <w:rPr>
      <w:rFonts w:ascii="XO Thames" w:hAnsi="XO Thames"/>
      <w:sz w:val="20"/>
    </w:rPr>
  </w:style>
  <w:style w:type="character" w:styleId="DefaultParagraphFont">
    <w:name w:val="Default Paragraph Font"/>
    <w:link w:val="Style_26"/>
    <w:qFormat/>
    <w:rPr/>
  </w:style>
  <w:style w:type="character" w:styleId="Contents9">
    <w:name w:val="Contents 9"/>
    <w:link w:val="Style_27"/>
    <w:qFormat/>
    <w:rPr/>
  </w:style>
  <w:style w:type="character" w:styleId="Contents8">
    <w:name w:val="Contents 8"/>
    <w:link w:val="Style_28"/>
    <w:qFormat/>
    <w:rPr/>
  </w:style>
  <w:style w:type="character" w:styleId="ConsPlusNormal">
    <w:name w:val="ConsPlusNormal"/>
    <w:link w:val="Style_10"/>
    <w:qFormat/>
    <w:rPr>
      <w:rFonts w:ascii="Times New Roman" w:hAnsi="Times New Roman"/>
      <w:sz w:val="28"/>
    </w:rPr>
  </w:style>
  <w:style w:type="character" w:styleId="13">
    <w:name w:val="Обычный1"/>
    <w:link w:val="Style_29"/>
    <w:qFormat/>
    <w:rPr>
      <w:rFonts w:ascii="Times New Roman" w:hAnsi="Times New Roman"/>
    </w:rPr>
  </w:style>
  <w:style w:type="character" w:styleId="14">
    <w:name w:val="Знак сноски1"/>
    <w:link w:val="Style_8"/>
    <w:qFormat/>
    <w:rPr>
      <w:vertAlign w:val="superscript"/>
    </w:rPr>
  </w:style>
  <w:style w:type="character" w:styleId="Contents5">
    <w:name w:val="Contents 5"/>
    <w:link w:val="Style_30"/>
    <w:qFormat/>
    <w:rPr/>
  </w:style>
  <w:style w:type="character" w:styleId="TableParagraph">
    <w:name w:val="Table Paragraph"/>
    <w:basedOn w:val="Standard"/>
    <w:link w:val="Style_31"/>
    <w:qFormat/>
    <w:rPr/>
  </w:style>
  <w:style w:type="character" w:styleId="Subtitle">
    <w:name w:val="Subtitle"/>
    <w:link w:val="Style_32"/>
    <w:qFormat/>
    <w:rPr>
      <w:rFonts w:ascii="XO Thames" w:hAnsi="XO Thames"/>
      <w:i/>
      <w:color w:val="616161"/>
      <w:sz w:val="24"/>
    </w:rPr>
  </w:style>
  <w:style w:type="character" w:styleId="Title">
    <w:name w:val="Title"/>
    <w:link w:val="Style_33"/>
    <w:qFormat/>
    <w:rPr>
      <w:rFonts w:ascii="XO Thames" w:hAnsi="XO Thames"/>
      <w:b/>
      <w:sz w:val="52"/>
    </w:rPr>
  </w:style>
  <w:style w:type="character" w:styleId="Heading4">
    <w:name w:val="Heading 4"/>
    <w:link w:val="Style_34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5"/>
    <w:qFormat/>
    <w:rPr>
      <w:rFonts w:ascii="XO Thames" w:hAnsi="XO Thames"/>
      <w:b/>
      <w:color w:val="00A0FF"/>
      <w:sz w:val="26"/>
    </w:rPr>
  </w:style>
  <w:style w:type="character" w:styleId="15">
    <w:name w:val="Гиперссылка1"/>
    <w:basedOn w:val="11"/>
    <w:link w:val="Style_4"/>
    <w:qFormat/>
    <w:rPr>
      <w:color w:val="0000FF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color w:val="000000"/>
      <w:sz w:val="28"/>
    </w:rPr>
  </w:style>
  <w:style w:type="character" w:styleId="ListLabel5">
    <w:name w:val="ListLabel 5"/>
    <w:qFormat/>
    <w:rPr>
      <w:color w:val="000000"/>
      <w:spacing w:val="-4"/>
      <w:sz w:val="28"/>
    </w:rPr>
  </w:style>
  <w:style w:type="character" w:styleId="ListLabel6">
    <w:name w:val="ListLabel 6"/>
    <w:qFormat/>
    <w:rPr>
      <w:rFonts w:ascii="Times New Roman" w:hAnsi="Times New Roman"/>
      <w:sz w:val="28"/>
    </w:rPr>
  </w:style>
  <w:style w:type="character" w:styleId="ListLabel7">
    <w:name w:val="ListLabel 7"/>
    <w:qFormat/>
    <w:rPr>
      <w:rFonts w:ascii="Times New Roman" w:hAnsi="Times New Roman"/>
      <w:color w:val="000000"/>
      <w:sz w:val="28"/>
    </w:rPr>
  </w:style>
  <w:style w:type="character" w:styleId="Style10">
    <w:name w:val="Посещённая гиперссылка"/>
    <w:rPr>
      <w:color w:val="800000"/>
      <w:u w:val="single"/>
      <w:lang w:val="zxx" w:eastAsia="zxx" w:bidi="zxx"/>
    </w:rPr>
  </w:style>
  <w:style w:type="character" w:styleId="Style11">
    <w:name w:val="Символ сноски"/>
    <w:qFormat/>
    <w:rPr/>
  </w:style>
  <w:style w:type="character" w:styleId="Style12">
    <w:name w:val="Привязка сноски"/>
    <w:rPr>
      <w:vertAlign w:val="superscript"/>
    </w:rPr>
  </w:style>
  <w:style w:type="character" w:styleId="Style13">
    <w:name w:val="Привязка концевой сноски"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Style_1_ch"/>
    <w:pPr>
      <w:ind w:left="133" w:right="0" w:firstLine="540"/>
    </w:pPr>
    <w:rPr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12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13_ch"/>
    <w:uiPriority w:val="39"/>
    <w:pPr>
      <w:widowControl/>
      <w:bidi w:val="0"/>
      <w:ind w:left="600" w:right="0" w:hanging="0"/>
      <w:jc w:val="left"/>
    </w:pPr>
    <w:rPr/>
  </w:style>
  <w:style w:type="paragraph" w:styleId="ListParagraph1">
    <w:name w:val="List Paragraph"/>
    <w:basedOn w:val="Normal"/>
    <w:link w:val="Style_5_ch"/>
    <w:qFormat/>
    <w:pPr>
      <w:ind w:left="133" w:right="0" w:firstLine="540"/>
    </w:pPr>
    <w:rPr/>
  </w:style>
  <w:style w:type="paragraph" w:styleId="6">
    <w:name w:val="TOC 6"/>
    <w:basedOn w:val="Normal"/>
    <w:link w:val="Style_14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15_ch"/>
    <w:uiPriority w:val="39"/>
    <w:pPr>
      <w:widowControl/>
      <w:bidi w:val="0"/>
      <w:ind w:left="1200" w:right="0" w:hanging="0"/>
      <w:jc w:val="left"/>
    </w:pPr>
    <w:rPr/>
  </w:style>
  <w:style w:type="paragraph" w:styleId="NormalWeb1">
    <w:name w:val="Normal (Web)"/>
    <w:basedOn w:val="Normal"/>
    <w:link w:val="Style_2_ch"/>
    <w:qFormat/>
    <w:pPr>
      <w:widowControl/>
      <w:spacing w:beforeAutospacing="1" w:afterAutospacing="1"/>
    </w:pPr>
    <w:rPr>
      <w:sz w:val="24"/>
    </w:rPr>
  </w:style>
  <w:style w:type="paragraph" w:styleId="16">
    <w:name w:val="Основной шрифт абзаца1"/>
    <w:link w:val="Style_16_ch"/>
    <w:qFormat/>
    <w:pPr>
      <w:widowControl/>
      <w:bidi w:val="0"/>
      <w:jc w:val="left"/>
    </w:pPr>
    <w:rPr>
      <w:rFonts w:ascii="Calibri" w:hAnsi="Calibri" w:eastAsia="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">
    <w:name w:val="No Spacing"/>
    <w:link w:val="Style_7_ch"/>
    <w:qFormat/>
    <w:pPr>
      <w:widowControl/>
      <w:bidi w:val="0"/>
      <w:jc w:val="left"/>
    </w:pPr>
    <w:rPr>
      <w:rFonts w:ascii="Calibri" w:hAnsi="Calibri" w:eastAsia="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link w:val="Style_18_ch"/>
    <w:uiPriority w:val="39"/>
    <w:pPr>
      <w:widowControl/>
      <w:bidi w:val="0"/>
      <w:ind w:left="400" w:right="0" w:hanging="0"/>
      <w:jc w:val="left"/>
    </w:pPr>
    <w:rPr/>
  </w:style>
  <w:style w:type="paragraph" w:styleId="17">
    <w:name w:val="Строгий1"/>
    <w:basedOn w:val="16"/>
    <w:link w:val="Style_3_ch"/>
    <w:qFormat/>
    <w:pPr/>
    <w:rPr>
      <w:b/>
    </w:rPr>
  </w:style>
  <w:style w:type="paragraph" w:styleId="BalloonText1">
    <w:name w:val="Balloon Text"/>
    <w:basedOn w:val="Normal"/>
    <w:link w:val="Style_19_ch"/>
    <w:qFormat/>
    <w:pPr/>
    <w:rPr>
      <w:rFonts w:ascii="Tahoma" w:hAnsi="Tahoma"/>
      <w:sz w:val="16"/>
    </w:rPr>
  </w:style>
  <w:style w:type="paragraph" w:styleId="Toc101">
    <w:name w:val="toc 10"/>
    <w:link w:val="Style_20_ch"/>
    <w:qFormat/>
    <w:pPr>
      <w:widowControl/>
      <w:bidi w:val="0"/>
      <w:ind w:left="1800" w:hanging="0"/>
      <w:jc w:val="left"/>
    </w:pPr>
    <w:rPr>
      <w:rFonts w:ascii="Calibri" w:hAnsi="Calibri" w:eastAsia="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link w:val="Style_22_ch"/>
    <w:qFormat/>
    <w:pPr>
      <w:widowControl/>
      <w:bidi w:val="0"/>
      <w:jc w:val="left"/>
    </w:pPr>
    <w:rPr>
      <w:rFonts w:ascii="Calibri" w:hAnsi="Calibri" w:eastAsia="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23_ch"/>
    <w:qFormat/>
    <w:pPr>
      <w:widowControl/>
    </w:pPr>
    <w:rPr>
      <w:sz w:val="20"/>
    </w:rPr>
  </w:style>
  <w:style w:type="paragraph" w:styleId="18">
    <w:name w:val="TOC 1"/>
    <w:basedOn w:val="Normal"/>
    <w:link w:val="Style_24_ch"/>
    <w:uiPriority w:val="39"/>
    <w:pPr>
      <w:widowControl/>
      <w:bidi w:val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5_ch"/>
    <w:qFormat/>
    <w:pPr>
      <w:widowControl/>
      <w:bidi w:val="0"/>
      <w:spacing w:lineRule="auto" w:line="360"/>
      <w:jc w:val="left"/>
    </w:pPr>
    <w:rPr>
      <w:rFonts w:ascii="XO Thames" w:hAnsi="XO Thames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26_ch"/>
    <w:qFormat/>
    <w:pPr>
      <w:widowControl/>
      <w:bidi w:val="0"/>
      <w:jc w:val="left"/>
    </w:pPr>
    <w:rPr>
      <w:rFonts w:ascii="Calibri" w:hAnsi="Calibri" w:eastAsia="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basedOn w:val="Normal"/>
    <w:link w:val="Style_27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8_ch"/>
    <w:uiPriority w:val="39"/>
    <w:pPr>
      <w:widowControl/>
      <w:bidi w:val="0"/>
      <w:ind w:left="1400" w:right="0" w:hanging="0"/>
      <w:jc w:val="left"/>
    </w:pPr>
    <w:rPr/>
  </w:style>
  <w:style w:type="paragraph" w:styleId="ConsPlusNormal1">
    <w:name w:val="ConsPlusNormal"/>
    <w:link w:val="Style_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Обычный1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0">
    <w:name w:val="Знак сноски1"/>
    <w:link w:val="Style_8_ch"/>
    <w:qFormat/>
    <w:pPr>
      <w:widowControl/>
      <w:bidi w:val="0"/>
      <w:jc w:val="left"/>
    </w:pPr>
    <w:rPr>
      <w:rFonts w:ascii="Calibri" w:hAnsi="Calibri" w:eastAsia="SimSun" w:cs="Mangal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51">
    <w:name w:val="TOC 5"/>
    <w:basedOn w:val="Normal"/>
    <w:link w:val="Style_30_ch"/>
    <w:uiPriority w:val="39"/>
    <w:pPr>
      <w:widowControl/>
      <w:bidi w:val="0"/>
      <w:ind w:left="800" w:right="0" w:hanging="0"/>
      <w:jc w:val="left"/>
    </w:pPr>
    <w:rPr/>
  </w:style>
  <w:style w:type="paragraph" w:styleId="TableParagraph1">
    <w:name w:val="Table Paragraph"/>
    <w:basedOn w:val="Normal"/>
    <w:link w:val="Style_31_ch"/>
    <w:qFormat/>
    <w:pPr/>
    <w:rPr/>
  </w:style>
  <w:style w:type="paragraph" w:styleId="Style20">
    <w:name w:val="Subtitle"/>
    <w:basedOn w:val="Normal"/>
    <w:link w:val="Style_32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Style21">
    <w:name w:val="Title"/>
    <w:basedOn w:val="Normal"/>
    <w:link w:val="Style_33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111">
    <w:name w:val="Гиперссылка1"/>
    <w:basedOn w:val="16"/>
    <w:link w:val="Style_4_ch"/>
    <w:qFormat/>
    <w:pPr/>
    <w:rPr>
      <w:color w:val="0000FF"/>
      <w:u w:val="single"/>
    </w:rPr>
  </w:style>
  <w:style w:type="paragraph" w:styleId="Style22">
    <w:name w:val="Footnote Text"/>
    <w:basedOn w:val="Normal"/>
    <w:pPr/>
    <w:rPr/>
  </w:style>
  <w:style w:type="table" w:default="1" w:styleId="Style_36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9">
    <w:name w:val="Table Grid"/>
    <w:basedOn w:val="Style_36"/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37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udvsem.ru/" TargetMode="External"/><Relationship Id="rId3" Type="http://schemas.openxmlformats.org/officeDocument/2006/relationships/hyperlink" Target="http://www.trudvsem.ru/" TargetMode="External"/><Relationship Id="rId4" Type="http://schemas.openxmlformats.org/officeDocument/2006/relationships/hyperlink" Target="https://zan.donland.ru/" TargetMode="External"/><Relationship Id="rId5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6" Type="http://schemas.openxmlformats.org/officeDocument/2006/relationships/hyperlink" Target="http://www.61.&#1084;&#1074;&#1076;.&#1088;&#1092;" TargetMode="External"/><Relationship Id="rId7" Type="http://schemas.openxmlformats.org/officeDocument/2006/relationships/hyperlink" Target="consultantplus://offline/ref=BAB443E48D324BCF3E74E7165C2A22101BAD8EEE9E9371C8C6A9EDC48BA7F4D060DA8153DBB49B35EE2CA528CE2B7B449B043CE9WBz4C" TargetMode="External"/><Relationship Id="rId8" Type="http://schemas.openxmlformats.org/officeDocument/2006/relationships/hyperlink" Target="https://61.&#1084;&#1074;&#1076;.&#1088;&#1092;" TargetMode="External"/><Relationship Id="rId9" Type="http://schemas.openxmlformats.org/officeDocument/2006/relationships/hyperlink" Target="https://61.&#1084;&#1074;&#1076;.&#1088;&#1092;" TargetMode="External"/><Relationship Id="rId10" Type="http://schemas.openxmlformats.org/officeDocument/2006/relationships/hyperlink" Target="https://git61.rostrud.gov.ru/" TargetMode="Externa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LibreOffice/6.0.4.2$Windows_x86 LibreOffice_project/9b0d9b32d5dcda91d2f1a96dc04c645c450872bf</Application>
  <Pages>22</Pages>
  <Words>7133</Words>
  <Characters>50061</Characters>
  <CharactersWithSpaces>56893</CharactersWithSpaces>
  <Paragraphs>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2022-07-19T11:51:19Z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