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40" w:left="0" w:right="0"/>
        <w:jc w:val="right"/>
        <w:rPr>
          <w:b w:val="1"/>
        </w:rPr>
      </w:pPr>
    </w:p>
    <w:p w14:paraId="02000000">
      <w:pPr>
        <w:ind w:firstLine="540" w:left="0" w:right="0"/>
        <w:jc w:val="center"/>
      </w:pPr>
      <w:r>
        <w:rPr>
          <w:b w:val="1"/>
        </w:rPr>
        <w:t>РОССИЙСКАЯ ФЕДЕРАЦИЯ</w:t>
      </w:r>
    </w:p>
    <w:p w14:paraId="03000000">
      <w:pPr>
        <w:ind w:firstLine="540" w:left="0" w:right="0"/>
        <w:jc w:val="center"/>
      </w:pPr>
      <w:r>
        <w:rPr>
          <w:b w:val="1"/>
        </w:rPr>
        <w:t>РОСТОВСКАЯ ОБЛАСТЬ</w:t>
      </w:r>
    </w:p>
    <w:p w14:paraId="04000000">
      <w:pPr>
        <w:ind w:firstLine="540" w:left="0" w:right="0"/>
        <w:jc w:val="center"/>
      </w:pPr>
      <w:r>
        <w:t>НЕКЛИНОВСКИЙ РАЙОН</w:t>
      </w:r>
    </w:p>
    <w:p w14:paraId="05000000">
      <w:pPr>
        <w:ind w:firstLine="540" w:left="0" w:right="0"/>
        <w:jc w:val="center"/>
      </w:pPr>
      <w:r>
        <w:t>МУНИЦИПАЛЬНОЕ ОБРАЗОВАНИЕ</w:t>
      </w:r>
    </w:p>
    <w:p w14:paraId="06000000">
      <w:pPr>
        <w:ind w:firstLine="540" w:left="0" w:right="0"/>
        <w:jc w:val="center"/>
      </w:pPr>
      <w:r>
        <w:rPr>
          <w:b w:val="1"/>
        </w:rPr>
        <w:t>«НАТАЛЬЕВСКОЕ СЕЛЬСКОЕ ПОСЕЛЕНИЕ»</w:t>
      </w:r>
    </w:p>
    <w:p w14:paraId="07000000">
      <w:pPr>
        <w:ind w:firstLine="540" w:left="0" w:right="0"/>
        <w:jc w:val="center"/>
        <w:rPr>
          <w:b w:val="1"/>
        </w:rPr>
      </w:pPr>
    </w:p>
    <w:p w14:paraId="08000000">
      <w:pPr>
        <w:ind w:firstLine="540" w:left="0" w:right="0"/>
        <w:jc w:val="center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09000000">
      <w:pPr>
        <w:ind w:firstLine="540" w:left="0" w:right="0"/>
        <w:jc w:val="both"/>
        <w:rPr>
          <w:b w:val="1"/>
          <w:sz w:val="24"/>
        </w:rPr>
      </w:pPr>
    </w:p>
    <w:p w14:paraId="0A000000">
      <w:pPr>
        <w:ind w:firstLine="540" w:left="0" w:right="0"/>
        <w:jc w:val="center"/>
      </w:pPr>
      <w:r>
        <w:t>РЕШЕНИЕ</w:t>
      </w:r>
    </w:p>
    <w:p w14:paraId="0B000000">
      <w:pPr>
        <w:ind w:firstLine="540" w:left="0" w:right="0"/>
        <w:jc w:val="center"/>
        <w:rPr>
          <w:sz w:val="26"/>
        </w:rPr>
      </w:pPr>
    </w:p>
    <w:p w14:paraId="0C000000">
      <w:pPr>
        <w:ind w:firstLine="540" w:left="0" w:right="0"/>
        <w:jc w:val="both"/>
        <w:rPr>
          <w:sz w:val="26"/>
        </w:rPr>
      </w:pPr>
    </w:p>
    <w:p w14:paraId="0D000000">
      <w:pPr>
        <w:ind w:firstLine="540" w:left="0" w:right="0"/>
        <w:jc w:val="both"/>
        <w:rPr>
          <w:sz w:val="26"/>
        </w:rPr>
      </w:pPr>
    </w:p>
    <w:p w14:paraId="0E000000">
      <w:pPr>
        <w:ind w:firstLine="540" w:left="0" w:right="0"/>
        <w:jc w:val="both"/>
      </w:pPr>
      <w:r>
        <w:rPr>
          <w:b w:val="1"/>
        </w:rPr>
        <w:t>«Об установлении земельного налога»</w:t>
      </w:r>
    </w:p>
    <w:p w14:paraId="0F000000">
      <w:pPr>
        <w:ind w:firstLine="540" w:left="0" w:right="0"/>
        <w:jc w:val="both"/>
        <w:rPr>
          <w:b w:val="1"/>
        </w:rPr>
      </w:pPr>
    </w:p>
    <w:p w14:paraId="10000000">
      <w:pPr>
        <w:ind w:firstLine="540" w:left="0" w:right="0"/>
        <w:jc w:val="both"/>
        <w:rPr>
          <w:b w:val="1"/>
        </w:rPr>
      </w:pPr>
    </w:p>
    <w:p w14:paraId="11000000">
      <w:pPr>
        <w:ind w:firstLine="540" w:left="0" w:right="0"/>
        <w:jc w:val="both"/>
      </w:pPr>
      <w:r>
        <w:t>Принято</w:t>
      </w:r>
    </w:p>
    <w:p w14:paraId="12000000">
      <w:pPr>
        <w:ind w:firstLine="540" w:left="0" w:right="0"/>
        <w:jc w:val="both"/>
      </w:pPr>
      <w:r>
        <w:t>Собранием депутатов</w:t>
      </w:r>
      <w:r>
        <w:tab/>
      </w:r>
      <w:r>
        <w:tab/>
      </w:r>
      <w:r>
        <w:tab/>
      </w:r>
      <w:r>
        <w:tab/>
      </w:r>
      <w:r>
        <w:tab/>
      </w:r>
      <w:r>
        <w:t>«18»  ноября 2022г.</w:t>
      </w:r>
    </w:p>
    <w:p w14:paraId="13000000">
      <w:pPr>
        <w:pStyle w:val="Style_1"/>
      </w:pPr>
    </w:p>
    <w:p w14:paraId="14000000">
      <w:pPr>
        <w:pStyle w:val="Style_1"/>
        <w:ind w:firstLine="531" w:left="0" w:right="0"/>
      </w:pPr>
    </w:p>
    <w:p w14:paraId="15000000">
      <w:pPr>
        <w:pStyle w:val="Style_1"/>
        <w:ind w:firstLine="531" w:left="0" w:right="0"/>
      </w:pP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«Натальевское сельское поселение»</w:t>
      </w:r>
    </w:p>
    <w:p w14:paraId="16000000">
      <w:pPr>
        <w:pStyle w:val="Style_1"/>
      </w:pPr>
      <w:r>
        <w:t xml:space="preserve">        Собрание депутатов Натальевского сельского поселения РЕШИЛО:</w:t>
      </w:r>
    </w:p>
    <w:p w14:paraId="17000000">
      <w:pPr>
        <w:pStyle w:val="Style_1"/>
      </w:pPr>
    </w:p>
    <w:p w14:paraId="18000000">
      <w:pPr>
        <w:pStyle w:val="Style_1"/>
        <w:ind/>
        <w:jc w:val="center"/>
      </w:pPr>
    </w:p>
    <w:p w14:paraId="19000000">
      <w:pPr>
        <w:tabs>
          <w:tab w:leader="none" w:pos="927" w:val="left"/>
        </w:tabs>
        <w:ind w:firstLine="565" w:left="0" w:right="0"/>
        <w:jc w:val="both"/>
      </w:pPr>
      <w:r>
        <w:t xml:space="preserve">1. Ввести на территории Натальевского сельского поселения земельный налог. </w:t>
      </w:r>
    </w:p>
    <w:p w14:paraId="1A000000">
      <w:pPr>
        <w:tabs>
          <w:tab w:leader="none" w:pos="927" w:val="left"/>
        </w:tabs>
        <w:ind w:firstLine="565" w:left="0" w:right="0"/>
        <w:jc w:val="both"/>
      </w:pPr>
      <w:r>
        <w:t xml:space="preserve">2. Установить налоговые ставки в следующих размерах: </w:t>
      </w:r>
    </w:p>
    <w:p w14:paraId="1B000000">
      <w:pPr>
        <w:tabs>
          <w:tab w:leader="none" w:pos="1198" w:val="left"/>
        </w:tabs>
        <w:ind w:firstLine="577" w:left="-12" w:right="0"/>
        <w:jc w:val="both"/>
      </w:pPr>
      <w:r>
        <w:t xml:space="preserve">2.1. 0,3 процента в отношении земельных участков: </w:t>
      </w:r>
    </w:p>
    <w:p w14:paraId="1C000000">
      <w:pPr>
        <w:tabs>
          <w:tab w:leader="none" w:pos="1198" w:val="left"/>
        </w:tabs>
        <w:ind w:firstLine="577" w:left="-12" w:right="0"/>
        <w:jc w:val="both"/>
      </w:pPr>
      <w: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t>;</w:t>
      </w:r>
    </w:p>
    <w:p w14:paraId="1D000000">
      <w:pPr>
        <w:tabs>
          <w:tab w:leader="none" w:pos="1198" w:val="left"/>
        </w:tabs>
        <w:ind w:firstLine="577" w:left="-12" w:right="0"/>
        <w:jc w:val="both"/>
      </w:pPr>
      <w:r>
        <w:t>б) занятых жилищным фондом и объектами инженерной инфраструктуры жилищно –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t>;</w:t>
      </w:r>
    </w:p>
    <w:p w14:paraId="1E000000">
      <w:pPr>
        <w:ind w:firstLine="565" w:left="0" w:right="0"/>
        <w:jc w:val="both"/>
      </w:pPr>
      <w:r>
        <w:t xml:space="preserve">в) </w:t>
      </w:r>
      <w: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t>;</w:t>
      </w:r>
    </w:p>
    <w:p w14:paraId="1F000000">
      <w:pPr>
        <w:ind/>
        <w:jc w:val="both"/>
      </w:pPr>
      <w:r>
        <w:t xml:space="preserve">      </w:t>
      </w:r>
      <w: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20000000">
      <w:pPr>
        <w:ind/>
        <w:jc w:val="both"/>
      </w:pPr>
      <w:r>
        <w:t xml:space="preserve">       2.2. 1,5 процента в отношении прочих земельных участков.</w:t>
      </w:r>
    </w:p>
    <w:p w14:paraId="21000000">
      <w:pPr>
        <w:pStyle w:val="Style_2"/>
        <w:ind w:firstLine="0" w:left="0" w:right="0"/>
      </w:pPr>
      <w:r>
        <w:rPr>
          <w:color w:val="FF0000"/>
          <w:highlight w:val="white"/>
        </w:rPr>
        <w:t xml:space="preserve">    </w:t>
      </w:r>
      <w:r>
        <w:rPr>
          <w:highlight w:val="white"/>
        </w:rPr>
        <w:t>3.</w:t>
      </w:r>
      <w:r>
        <w:t xml:space="preserve"> Освободить от уплаты земельного налога следующие категории налогоплательщиков: </w:t>
      </w:r>
    </w:p>
    <w:p w14:paraId="22000000">
      <w:pPr>
        <w:pStyle w:val="Style_2"/>
        <w:ind w:firstLine="600" w:left="0" w:right="0"/>
      </w:pPr>
      <w:r>
        <w:rPr>
          <w:highlight w:val="white"/>
        </w:rPr>
        <w:t>3.1</w:t>
      </w:r>
      <w:r>
        <w:rPr>
          <w:color w:val="FF0000"/>
          <w:highlight w:val="white"/>
        </w:rPr>
        <w:t xml:space="preserve"> </w:t>
      </w:r>
      <w:r>
        <w:rPr>
          <w:color w:val="000000"/>
          <w:spacing w:val="-1"/>
          <w:highlight w:val="white"/>
        </w:rPr>
        <w:t xml:space="preserve">Героев Советского Союза, Героев Российской Федерации, Героев Социалистического труда, </w:t>
      </w:r>
      <w:r>
        <w:rPr>
          <w:color w:val="000000"/>
          <w:highlight w:val="white"/>
        </w:rPr>
        <w:t xml:space="preserve">полных кавалеров орденов Славы, Трудовой Славы и «За службу Родине в  Вооруженных </w:t>
      </w:r>
      <w:r>
        <w:rPr>
          <w:color w:val="000000"/>
          <w:spacing w:val="-3"/>
          <w:highlight w:val="white"/>
        </w:rPr>
        <w:t>силах СССР».</w:t>
      </w:r>
    </w:p>
    <w:p w14:paraId="23000000">
      <w:pPr>
        <w:pStyle w:val="Style_2"/>
        <w:ind w:firstLine="600" w:left="0" w:right="0"/>
      </w:pPr>
      <w:r>
        <w:rPr>
          <w:color w:val="000000"/>
          <w:spacing w:val="-3"/>
          <w:highlight w:val="white"/>
        </w:rPr>
        <w:t>3.2. И</w:t>
      </w:r>
      <w:r>
        <w:rPr>
          <w:color w:val="000000"/>
          <w:spacing w:val="-1"/>
          <w:highlight w:val="white"/>
        </w:rPr>
        <w:t xml:space="preserve">нвалидов  </w:t>
      </w:r>
      <w:r>
        <w:rPr>
          <w:color w:val="000000"/>
          <w:spacing w:val="-1"/>
          <w:highlight w:val="white"/>
        </w:rPr>
        <w:t>I</w:t>
      </w:r>
      <w:r>
        <w:rPr>
          <w:color w:val="000000"/>
          <w:spacing w:val="-1"/>
          <w:highlight w:val="white"/>
        </w:rPr>
        <w:t xml:space="preserve"> и </w:t>
      </w:r>
      <w:r>
        <w:rPr>
          <w:color w:val="000000"/>
          <w:spacing w:val="-1"/>
          <w:highlight w:val="white"/>
        </w:rPr>
        <w:t>II</w:t>
      </w:r>
      <w:r>
        <w:rPr>
          <w:color w:val="000000"/>
          <w:spacing w:val="-1"/>
          <w:highlight w:val="white"/>
        </w:rPr>
        <w:t xml:space="preserve"> групп.</w:t>
      </w:r>
    </w:p>
    <w:p w14:paraId="24000000">
      <w:pPr>
        <w:pStyle w:val="Style_2"/>
        <w:ind w:firstLine="600" w:left="0" w:right="0"/>
      </w:pPr>
      <w:r>
        <w:rPr>
          <w:color w:val="000000"/>
          <w:spacing w:val="-1"/>
          <w:highlight w:val="white"/>
        </w:rPr>
        <w:t>3.3. И</w:t>
      </w:r>
      <w:r>
        <w:rPr>
          <w:color w:val="000000"/>
          <w:spacing w:val="-4"/>
          <w:highlight w:val="white"/>
        </w:rPr>
        <w:t>нвалидов с детства.</w:t>
      </w:r>
    </w:p>
    <w:p w14:paraId="25000000">
      <w:pPr>
        <w:pStyle w:val="Style_2"/>
        <w:ind w:firstLine="600" w:left="0" w:right="0"/>
      </w:pPr>
      <w:r>
        <w:rPr>
          <w:color w:val="000000"/>
          <w:spacing w:val="-4"/>
          <w:highlight w:val="white"/>
        </w:rPr>
        <w:t>3.4. Ветеранов и инвалидов Великой Отечественной войны, а также ветеранов и инвалидов боевых действий.</w:t>
      </w:r>
    </w:p>
    <w:p w14:paraId="26000000">
      <w:pPr>
        <w:ind w:firstLine="565" w:left="-12" w:right="29"/>
        <w:jc w:val="both"/>
      </w:pPr>
      <w:r>
        <w:rPr>
          <w:highlight w:val="white"/>
        </w:rPr>
        <w:t xml:space="preserve"> </w:t>
      </w:r>
      <w:r>
        <w:rPr>
          <w:highlight w:val="white"/>
        </w:rPr>
        <w:t>3.5. Физических лиц, име</w:t>
      </w:r>
      <w:r>
        <w:t xml:space="preserve">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</w:t>
      </w:r>
      <w:r>
        <w:rPr>
          <w:color w:val="000000"/>
          <w:spacing w:val="-1"/>
        </w:rPr>
        <w:t xml:space="preserve">и других радиационных авариях на атомных объектах гражданского </w:t>
      </w:r>
      <w:r>
        <w:rPr>
          <w:color w:val="000000"/>
          <w:spacing w:val="7"/>
        </w:rPr>
        <w:t xml:space="preserve">или военного назначения, а также в результате испытаний, учений и иных работ, </w:t>
      </w:r>
      <w:r>
        <w:rPr>
          <w:color w:val="000000"/>
          <w:spacing w:val="-1"/>
        </w:rPr>
        <w:t xml:space="preserve">связанных с любыми видами ядерных установок, включая ядерное оружие и космическую </w:t>
      </w:r>
      <w:r>
        <w:rPr>
          <w:color w:val="000000"/>
          <w:spacing w:val="-4"/>
        </w:rPr>
        <w:t>технику.</w:t>
      </w:r>
    </w:p>
    <w:p w14:paraId="27000000">
      <w:pPr>
        <w:pStyle w:val="Style_2"/>
        <w:ind w:firstLine="565" w:left="-12" w:right="0"/>
      </w:pPr>
      <w:r>
        <w:rPr>
          <w:highlight w:val="white"/>
        </w:rPr>
        <w:t xml:space="preserve">3.6. </w:t>
      </w:r>
      <w:r>
        <w:t>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</w:r>
    </w:p>
    <w:p w14:paraId="28000000">
      <w:pPr>
        <w:pStyle w:val="Style_2"/>
        <w:ind w:hanging="27" w:left="567" w:right="0"/>
      </w:pPr>
      <w:r>
        <w:t xml:space="preserve">3.7. </w:t>
      </w:r>
      <w:r>
        <w:t xml:space="preserve">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</w:t>
      </w:r>
      <w:r>
        <w:t xml:space="preserve"> порядке и на условиях, определенных статьями  8.2, 8.3</w:t>
      </w:r>
      <w:r>
        <w:t xml:space="preserve"> Областного Закона Ростовской области от 22.07.2003г. №19-ЗС «О регулировании земельных отношений в Ростовской области»</w:t>
      </w:r>
      <w:r>
        <w:t xml:space="preserve"> "</w:t>
      </w:r>
      <w:r>
        <w:t xml:space="preserve">. </w:t>
      </w:r>
    </w:p>
    <w:p w14:paraId="29000000">
      <w:pPr>
        <w:ind/>
        <w:jc w:val="both"/>
      </w:pPr>
      <w:r>
        <w:t xml:space="preserve">     </w:t>
      </w:r>
      <w:r>
        <w:t>3.8</w:t>
      </w:r>
      <w:r>
        <w:rPr>
          <w:highlight w:val="white"/>
        </w:rPr>
        <w:t>.</w:t>
      </w:r>
      <w:r>
        <w:t xml:space="preserve"> 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</w:r>
    </w:p>
    <w:p w14:paraId="2A000000">
      <w:pPr>
        <w:pStyle w:val="Style_2"/>
        <w:ind w:firstLine="531" w:left="12" w:right="0"/>
      </w:pP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4.</w:t>
      </w:r>
      <w:r>
        <w:rPr>
          <w:highlight w:val="white"/>
        </w:rPr>
        <w:t xml:space="preserve"> </w:t>
      </w:r>
      <w:r>
        <w:t>Льгота для граждан, указанных в пунктах</w:t>
      </w:r>
      <w:r>
        <w:rPr>
          <w:highlight w:val="white"/>
        </w:rPr>
        <w:t xml:space="preserve"> 3.1-3.8</w:t>
      </w:r>
      <w:r>
        <w:t xml:space="preserve">  предоставляется на один земельный участок (по выбору налогоплательщика), либо в соответствии с пунктом 5</w:t>
      </w:r>
      <w:r>
        <w:rPr>
          <w:highlight w:val="white"/>
        </w:rPr>
        <w:t xml:space="preserve"> </w:t>
      </w:r>
      <w:r>
        <w:t>настоящего Решения на категории земельных участков, занятые жилищным фондом, индивидуальными и кооперативными гаражами, предоставляемые для жилищного строительства,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деятельности.</w:t>
      </w:r>
    </w:p>
    <w:p w14:paraId="2B000000">
      <w:pPr>
        <w:pStyle w:val="Style_2"/>
        <w:ind w:firstLine="531" w:left="12" w:right="0"/>
      </w:pPr>
      <w:r>
        <w:rPr>
          <w:highlight w:val="white"/>
        </w:rPr>
        <w:t>5.</w:t>
      </w:r>
      <w:r>
        <w:t xml:space="preserve"> Налоговая льгота предоставляется с учетом положений пункта 10 статьи 396 Налогового кодекса Российской Федерации.</w:t>
      </w:r>
    </w:p>
    <w:p w14:paraId="2C000000">
      <w:pPr>
        <w:pStyle w:val="Style_3"/>
        <w:widowControl w:val="1"/>
        <w:ind w:firstLine="539" w:left="0" w:right="0"/>
        <w:jc w:val="both"/>
      </w:pPr>
      <w:r>
        <w:rPr>
          <w:rFonts w:ascii="Times New Roman" w:hAnsi="Times New Roman"/>
          <w:color w:val="000000"/>
          <w:sz w:val="28"/>
          <w:highlight w:val="white"/>
        </w:rPr>
        <w:t xml:space="preserve">6. </w:t>
      </w:r>
      <w:r>
        <w:rPr>
          <w:rFonts w:ascii="Times New Roman" w:hAnsi="Times New Roman"/>
          <w:color w:val="000000"/>
          <w:sz w:val="28"/>
        </w:rPr>
        <w:t xml:space="preserve">Основанием  предоставления льготы для граждан, указанных в подпункте </w:t>
      </w:r>
      <w:r>
        <w:rPr>
          <w:rFonts w:ascii="Times New Roman" w:hAnsi="Times New Roman"/>
          <w:color w:val="000000"/>
          <w:sz w:val="28"/>
          <w:highlight w:val="white"/>
        </w:rPr>
        <w:t>3.8</w:t>
      </w:r>
      <w:r>
        <w:rPr>
          <w:rFonts w:ascii="Times New Roman" w:hAnsi="Times New Roman"/>
          <w:color w:val="000000"/>
          <w:sz w:val="28"/>
        </w:rPr>
        <w:t xml:space="preserve"> пункта </w:t>
      </w:r>
      <w:r>
        <w:rPr>
          <w:rFonts w:ascii="Times New Roman" w:hAnsi="Times New Roman"/>
          <w:color w:val="000000"/>
          <w:sz w:val="28"/>
          <w:highlight w:val="white"/>
        </w:rPr>
        <w:t xml:space="preserve">3 </w:t>
      </w:r>
      <w:r>
        <w:rPr>
          <w:rFonts w:ascii="Times New Roman" w:hAnsi="Times New Roman"/>
          <w:color w:val="000000"/>
          <w:sz w:val="28"/>
        </w:rPr>
        <w:t>является: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14:paraId="2D000000">
      <w:pPr>
        <w:pStyle w:val="Style_2"/>
        <w:ind w:firstLine="531" w:left="12" w:right="0"/>
      </w:pPr>
      <w:r>
        <w:rPr>
          <w:color w:val="000000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беззаявительном порядке. </w:t>
      </w:r>
    </w:p>
    <w:p w14:paraId="2E000000">
      <w:pPr>
        <w:ind w:firstLine="708" w:left="0" w:right="0"/>
      </w:pPr>
      <w:r>
        <w:rPr>
          <w:highlight w:val="white"/>
        </w:rPr>
        <w:t xml:space="preserve">7. </w:t>
      </w:r>
      <w:r>
        <w:t xml:space="preserve">Признать утратившим силу решения Собрания депутатов Натальевского сельского поселения от 05.06.2017г. № 42  О земельном налоге в муниципальном образовании «Натальевское сельское поселение»; </w:t>
      </w:r>
    </w:p>
    <w:p w14:paraId="2F000000">
      <w:pPr>
        <w:ind w:firstLine="708" w:left="0" w:right="0"/>
        <w:jc w:val="both"/>
      </w:pPr>
      <w:r>
        <w:t>от 29.11.2018г. № 83 « О внесении изменений  в решение Собрания депутатов Натальевского сельского поселения № 42 от 05.06.2017 г. «О земельном налоге в муниципальном образовании «Натальевское сельское поселение»;</w:t>
      </w:r>
    </w:p>
    <w:p w14:paraId="30000000">
      <w:pPr>
        <w:ind w:firstLine="708" w:left="0" w:right="0"/>
        <w:jc w:val="both"/>
      </w:pPr>
      <w:r>
        <w:t>от 21.11.2019г. № 101 « О внесении изменений  в решение Собрания депутатов Натальевского сельского поселения № 42 от 05.06.2017 г. «О земельном налоге в муниципальном образовании «Натальевское сельское поселение»;</w:t>
      </w:r>
    </w:p>
    <w:p w14:paraId="31000000">
      <w:pPr>
        <w:ind w:firstLine="708" w:left="0" w:right="0"/>
        <w:jc w:val="both"/>
      </w:pPr>
      <w:r>
        <w:t>от 25.09.2020г. № 109 « О внесении изменений  в решение Собрания депутатов Натальевского сельского поселения № 42 от 05.06.2017 г. «О земельном налоге в муниципальном образовании «Натальевское сельское поселение»;</w:t>
      </w:r>
    </w:p>
    <w:p w14:paraId="32000000">
      <w:pPr>
        <w:ind w:firstLine="565" w:left="12" w:right="0"/>
        <w:jc w:val="both"/>
      </w:pPr>
      <w:r>
        <w:rPr>
          <w:highlight w:val="white"/>
        </w:rPr>
        <w:t>8.</w:t>
      </w:r>
      <w:r>
        <w:t xml:space="preserve"> Настоящее решение вступает в силу с 1 января 2023 года, но не ранее чем по истечении одного месяца со дня его официального опубликования (обнародования) и распространяется на правоотношения с 1 января 2022 года, за исключением подпункта </w:t>
      </w:r>
      <w:r>
        <w:rPr>
          <w:highlight w:val="white"/>
        </w:rPr>
        <w:t>3.8</w:t>
      </w:r>
      <w:r>
        <w:t xml:space="preserve"> пункта </w:t>
      </w:r>
      <w:r>
        <w:rPr>
          <w:highlight w:val="white"/>
        </w:rPr>
        <w:t>3</w:t>
      </w:r>
      <w:r>
        <w:t xml:space="preserve"> настоящего решения.</w:t>
      </w:r>
    </w:p>
    <w:p w14:paraId="33000000">
      <w:pPr>
        <w:spacing w:after="120" w:before="0"/>
        <w:ind w:firstLine="708" w:left="0" w:right="0"/>
        <w:jc w:val="both"/>
      </w:pPr>
      <w:r>
        <w:t>Подпункт 3.8 пункта 3 настоящего решения вступает в силу не ранее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2021 и 2022 годов, по срокам уплаты 01.12.2022г. и 01.12.2023г.</w:t>
      </w:r>
    </w:p>
    <w:p w14:paraId="34000000">
      <w:pPr>
        <w:ind w:firstLine="565" w:left="12" w:right="0"/>
        <w:jc w:val="both"/>
      </w:pPr>
    </w:p>
    <w:p w14:paraId="35000000">
      <w:pPr>
        <w:ind/>
        <w:jc w:val="both"/>
      </w:pPr>
    </w:p>
    <w:p w14:paraId="36000000">
      <w:pPr>
        <w:ind/>
        <w:jc w:val="both"/>
      </w:pPr>
    </w:p>
    <w:p w14:paraId="37000000">
      <w:pPr>
        <w:ind/>
        <w:jc w:val="both"/>
      </w:pPr>
    </w:p>
    <w:p w14:paraId="38000000">
      <w:pPr>
        <w:ind/>
        <w:jc w:val="both"/>
      </w:pPr>
      <w:r>
        <w:t xml:space="preserve">Председатель Собрания депутатов </w:t>
      </w:r>
    </w:p>
    <w:p w14:paraId="39000000">
      <w:pPr>
        <w:ind w:firstLine="0" w:left="0" w:right="281"/>
      </w:pPr>
      <w:r>
        <w:t xml:space="preserve">-глава Натальевского </w:t>
      </w:r>
      <w:r>
        <w:t>сельского поселения                       О.В.Прокопенко.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>с. Натальевка.</w:t>
      </w:r>
    </w:p>
    <w:p w14:paraId="3C000000">
      <w:pPr>
        <w:ind/>
        <w:jc w:val="both"/>
      </w:pPr>
      <w:r>
        <w:t xml:space="preserve">«18»  ноября 2022г. </w:t>
      </w:r>
    </w:p>
    <w:p w14:paraId="3D000000">
      <w:pPr>
        <w:ind/>
        <w:jc w:val="both"/>
      </w:pPr>
      <w:r>
        <w:t xml:space="preserve">№ </w:t>
      </w:r>
      <w:r>
        <w:t>28</w:t>
      </w:r>
    </w:p>
    <w:p w14:paraId="3E000000">
      <w:pPr>
        <w:ind w:firstLine="565" w:left="12" w:right="0"/>
        <w:jc w:val="both"/>
      </w:pPr>
    </w:p>
    <w:p w14:paraId="3F000000">
      <w:pPr>
        <w:ind w:firstLine="565" w:left="12" w:right="0"/>
        <w:jc w:val="both"/>
      </w:pPr>
    </w:p>
    <w:sectPr>
      <w:pgSz w:h="16838" w:orient="portrait" w:w="11906"/>
      <w:pgMar w:bottom="1015" w:footer="708" w:header="708" w:left="1418" w:right="1418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8"/>
    </w:rPr>
  </w:style>
  <w:style w:styleId="Style_5" w:type="paragraph">
    <w:name w:val="Указатель"/>
    <w:basedOn w:val="Style_4"/>
    <w:link w:val="Style_5_ch"/>
  </w:style>
  <w:style w:styleId="Style_5_ch" w:type="character">
    <w:name w:val="Указатель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WW8Num5z3"/>
    <w:link w:val="Style_10_ch"/>
    <w:rPr>
      <w:rFonts w:ascii="Symbol" w:hAnsi="Symbol"/>
    </w:rPr>
  </w:style>
  <w:style w:styleId="Style_10_ch" w:type="character">
    <w:name w:val="WW8Num5z3"/>
    <w:link w:val="Style_10"/>
    <w:rPr>
      <w:rFonts w:ascii="Symbol" w:hAnsi="Symbol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"/>
    <w:basedOn w:val="Style_1"/>
    <w:link w:val="Style_13_ch"/>
    <w:rPr>
      <w:rFonts w:ascii="Times New Roman" w:hAnsi="Times New Roman"/>
    </w:rPr>
  </w:style>
  <w:style w:styleId="Style_13_ch" w:type="character">
    <w:name w:val="List"/>
    <w:basedOn w:val="Style_1_ch"/>
    <w:link w:val="Style_13"/>
    <w:rPr>
      <w:rFonts w:ascii="Times New Roman" w:hAnsi="Times New Roman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Указатель2"/>
    <w:basedOn w:val="Style_4"/>
    <w:link w:val="Style_15_ch"/>
  </w:style>
  <w:style w:styleId="Style_15_ch" w:type="character">
    <w:name w:val="Указатель2"/>
    <w:basedOn w:val="Style_4_ch"/>
    <w:link w:val="Style_15"/>
  </w:style>
  <w:style w:styleId="Style_1" w:type="paragraph">
    <w:name w:val="Body Text"/>
    <w:basedOn w:val="Style_4"/>
    <w:link w:val="Style_1_ch"/>
    <w:pPr>
      <w:ind/>
      <w:jc w:val="both"/>
    </w:pPr>
  </w:style>
  <w:style w:styleId="Style_1_ch" w:type="character">
    <w:name w:val="Body Text"/>
    <w:basedOn w:val="Style_4_ch"/>
    <w:link w:val="Style_1"/>
  </w:style>
  <w:style w:styleId="Style_16" w:type="paragraph">
    <w:name w:val="Основной шрифт абзаца"/>
    <w:link w:val="Style_16_ch"/>
  </w:style>
  <w:style w:styleId="Style_16_ch" w:type="character">
    <w:name w:val="Основной шрифт абзаца"/>
    <w:link w:val="Style_16"/>
  </w:style>
  <w:style w:styleId="Style_17" w:type="paragraph">
    <w:name w:val="WW8Num5z2"/>
    <w:link w:val="Style_17_ch"/>
    <w:rPr>
      <w:rFonts w:ascii="Wingdings" w:hAnsi="Wingdings"/>
    </w:rPr>
  </w:style>
  <w:style w:styleId="Style_17_ch" w:type="character">
    <w:name w:val="WW8Num5z2"/>
    <w:link w:val="Style_17"/>
    <w:rPr>
      <w:rFonts w:ascii="Wingdings" w:hAnsi="Wingdings"/>
    </w:rPr>
  </w:style>
  <w:style w:styleId="Style_18" w:type="paragraph">
    <w:name w:val="Absatz-Standardschriftart"/>
    <w:link w:val="Style_18_ch"/>
  </w:style>
  <w:style w:styleId="Style_18_ch" w:type="character">
    <w:name w:val="Absatz-Standardschriftart"/>
    <w:link w:val="Style_18"/>
  </w:style>
  <w:style w:styleId="Style_19" w:type="paragraph">
    <w:name w:val="Указатель1"/>
    <w:basedOn w:val="Style_4"/>
    <w:link w:val="Style_19_ch"/>
    <w:rPr>
      <w:rFonts w:ascii="Times New Roman" w:hAnsi="Times New Roman"/>
    </w:rPr>
  </w:style>
  <w:style w:styleId="Style_19_ch" w:type="character">
    <w:name w:val="Указатель1"/>
    <w:basedOn w:val="Style_4_ch"/>
    <w:link w:val="Style_19"/>
    <w:rPr>
      <w:rFonts w:ascii="Times New Roman" w:hAnsi="Times New Roman"/>
    </w:rPr>
  </w:style>
  <w:style w:styleId="Style_20" w:type="paragraph">
    <w:name w:val="Название объекта"/>
    <w:basedOn w:val="Style_4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Название объекта"/>
    <w:basedOn w:val="Style_4_ch"/>
    <w:link w:val="Style_20"/>
    <w:rPr>
      <w:i w:val="1"/>
      <w:sz w:val="24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" w:type="paragraph">
    <w:name w:val="Основной текст с отступом 21"/>
    <w:basedOn w:val="Style_4"/>
    <w:link w:val="Style_2_ch"/>
    <w:pPr>
      <w:ind w:firstLine="540" w:left="0" w:right="0"/>
      <w:jc w:val="both"/>
    </w:pPr>
  </w:style>
  <w:style w:styleId="Style_2_ch" w:type="character">
    <w:name w:val="Основной текст с отступом 21"/>
    <w:basedOn w:val="Style_4_ch"/>
    <w:link w:val="Style_2"/>
  </w:style>
  <w:style w:styleId="Style_22" w:type="paragraph">
    <w:name w:val="Заголовок"/>
    <w:basedOn w:val="Style_4"/>
    <w:next w:val="Style_1"/>
    <w:link w:val="Style_22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22_ch" w:type="character">
    <w:name w:val="Заголовок"/>
    <w:basedOn w:val="Style_4_ch"/>
    <w:link w:val="Style_22"/>
    <w:rPr>
      <w:rFonts w:ascii="Times New Roman" w:hAnsi="Times New Roman"/>
      <w:sz w:val="2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 Indent"/>
    <w:basedOn w:val="Style_4"/>
    <w:link w:val="Style_29_ch"/>
    <w:pPr>
      <w:spacing w:after="120" w:before="0"/>
      <w:ind w:firstLine="0" w:left="283" w:right="0"/>
    </w:pPr>
  </w:style>
  <w:style w:styleId="Style_29_ch" w:type="character">
    <w:name w:val="Body Text Indent"/>
    <w:basedOn w:val="Style_4_ch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WW-Absatz-Standardschriftart1"/>
    <w:link w:val="Style_31_ch"/>
  </w:style>
  <w:style w:styleId="Style_31_ch" w:type="character">
    <w:name w:val="WW-Absatz-Standardschriftart1"/>
    <w:link w:val="Style_31"/>
  </w:style>
  <w:style w:styleId="Style_32" w:type="paragraph">
    <w:name w:val="Текст выноски"/>
    <w:basedOn w:val="Style_4"/>
    <w:link w:val="Style_32_ch"/>
    <w:rPr>
      <w:rFonts w:ascii="Tahoma" w:hAnsi="Tahoma"/>
      <w:sz w:val="16"/>
    </w:rPr>
  </w:style>
  <w:style w:styleId="Style_32_ch" w:type="character">
    <w:name w:val="Текст выноски"/>
    <w:basedOn w:val="Style_4_ch"/>
    <w:link w:val="Style_32"/>
    <w:rPr>
      <w:rFonts w:ascii="Tahoma" w:hAnsi="Tahoma"/>
      <w:sz w:val="16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WW8Num5z0"/>
    <w:link w:val="Style_35_ch"/>
    <w:rPr>
      <w:rFonts w:ascii="Times New Roman" w:hAnsi="Times New Roman"/>
    </w:rPr>
  </w:style>
  <w:style w:styleId="Style_35_ch" w:type="character">
    <w:name w:val="WW8Num5z0"/>
    <w:link w:val="Style_35"/>
    <w:rPr>
      <w:rFonts w:ascii="Times New Roman" w:hAnsi="Times New Roman"/>
    </w:rPr>
  </w:style>
  <w:style w:styleId="Style_36" w:type="paragraph">
    <w:name w:val="WW-Absatz-Standardschriftart"/>
    <w:link w:val="Style_36_ch"/>
  </w:style>
  <w:style w:styleId="Style_36_ch" w:type="character">
    <w:name w:val="WW-Absatz-Standardschriftart"/>
    <w:link w:val="Style_36"/>
  </w:style>
  <w:style w:styleId="Style_37" w:type="paragraph">
    <w:name w:val="Название объекта1"/>
    <w:basedOn w:val="Style_4"/>
    <w:next w:val="Style_4"/>
    <w:link w:val="Style_37_ch"/>
    <w:pPr>
      <w:ind/>
      <w:jc w:val="center"/>
    </w:pPr>
    <w:rPr>
      <w:b w:val="1"/>
    </w:rPr>
  </w:style>
  <w:style w:styleId="Style_37_ch" w:type="character">
    <w:name w:val="Название объекта1"/>
    <w:basedOn w:val="Style_4_ch"/>
    <w:link w:val="Style_37"/>
    <w:rPr>
      <w:b w:val="1"/>
    </w:rPr>
  </w:style>
  <w:style w:styleId="Style_38" w:type="paragraph">
    <w:name w:val="Название1"/>
    <w:basedOn w:val="Style_4"/>
    <w:link w:val="Style_38_ch"/>
    <w:pPr>
      <w:spacing w:after="120" w:before="120"/>
      <w:ind/>
    </w:pPr>
    <w:rPr>
      <w:rFonts w:ascii="Times New Roman" w:hAnsi="Times New Roman"/>
      <w:i w:val="1"/>
      <w:sz w:val="20"/>
    </w:rPr>
  </w:style>
  <w:style w:styleId="Style_38_ch" w:type="character">
    <w:name w:val="Название1"/>
    <w:basedOn w:val="Style_4_ch"/>
    <w:link w:val="Style_38"/>
    <w:rPr>
      <w:rFonts w:ascii="Times New Roman" w:hAnsi="Times New Roman"/>
      <w:i w:val="1"/>
      <w:sz w:val="20"/>
    </w:rPr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WW8Num5z1"/>
    <w:link w:val="Style_40_ch"/>
    <w:rPr>
      <w:rFonts w:ascii="Courier New" w:hAnsi="Courier New"/>
    </w:rPr>
  </w:style>
  <w:style w:styleId="Style_40_ch" w:type="character">
    <w:name w:val="WW8Num5z1"/>
    <w:link w:val="Style_40"/>
    <w:rPr>
      <w:rFonts w:ascii="Courier New" w:hAnsi="Courier New"/>
    </w:rPr>
  </w:style>
  <w:style w:styleId="Style_41" w:type="paragraph">
    <w:name w:val="Title"/>
    <w:next w:val="Style_4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Символ нумерации"/>
    <w:link w:val="Style_44_ch"/>
  </w:style>
  <w:style w:styleId="Style_44_ch" w:type="character">
    <w:name w:val="Символ нумерации"/>
    <w:link w:val="Style_44"/>
  </w:style>
  <w:style w:styleId="Style_45" w:type="paragraph">
    <w:name w:val="heading 2"/>
    <w:next w:val="Style_4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caption"/>
    <w:basedOn w:val="Style_4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4_ch"/>
    <w:link w:val="Style_46"/>
    <w:rPr>
      <w:i w:val="1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2024-12-09T06:13:40Z</dcterms:modified>
</cp:coreProperties>
</file>