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  <w:rPr>
          <w:b w:val="1"/>
          <w:sz w:val="26"/>
        </w:rPr>
      </w:pPr>
    </w:p>
    <w:p w14:paraId="02000000">
      <w:pPr>
        <w:pStyle w:val="Style_1"/>
        <w:ind/>
        <w:jc w:val="center"/>
      </w:pPr>
      <w:r>
        <w:rPr>
          <w:sz w:val="26"/>
        </w:rPr>
        <w:t xml:space="preserve">       </w:t>
      </w:r>
      <w:r>
        <w:rPr>
          <w:sz w:val="26"/>
        </w:rPr>
        <w:t xml:space="preserve">РОССИЙСКАЯ ФЕДЕРАЦИЯ         </w:t>
      </w:r>
    </w:p>
    <w:p w14:paraId="03000000">
      <w:pPr>
        <w:pStyle w:val="Style_1"/>
        <w:ind/>
        <w:jc w:val="center"/>
        <w:rPr>
          <w:sz w:val="26"/>
        </w:rPr>
      </w:pPr>
      <w:r>
        <w:rPr>
          <w:sz w:val="26"/>
        </w:rPr>
        <w:t>РОСТОВСКАЯ ОБЛАСТЬ</w:t>
      </w:r>
    </w:p>
    <w:p w14:paraId="04000000">
      <w:pPr>
        <w:pStyle w:val="Style_1"/>
        <w:ind/>
        <w:jc w:val="center"/>
        <w:rPr>
          <w:sz w:val="26"/>
        </w:rPr>
      </w:pPr>
      <w:r>
        <w:rPr>
          <w:sz w:val="26"/>
        </w:rPr>
        <w:t>МУНИЦИПАЛЬНОЕ ОБРАЗОВАНИЕ</w:t>
      </w:r>
    </w:p>
    <w:p w14:paraId="05000000">
      <w:pPr>
        <w:pStyle w:val="Style_1"/>
        <w:ind/>
        <w:jc w:val="center"/>
        <w:rPr>
          <w:sz w:val="26"/>
        </w:rPr>
      </w:pPr>
      <w:r>
        <w:rPr>
          <w:sz w:val="26"/>
        </w:rPr>
        <w:t>«НАТАЛЬЕВСКОЕ СЕЛЬСКОЕ ПОСЕЛЕНИЕ»</w:t>
      </w:r>
    </w:p>
    <w:p w14:paraId="06000000">
      <w:pPr>
        <w:pStyle w:val="Style_1"/>
        <w:ind/>
        <w:jc w:val="center"/>
        <w:rPr>
          <w:sz w:val="26"/>
        </w:rPr>
      </w:pPr>
      <w:r>
        <w:rPr>
          <w:sz w:val="26"/>
        </w:rPr>
        <w:t>СОБРАНИЕ ДЕПУТАТОВ НАТАЛЬЕВСКОГО  СЕЛЬСКОГО ПОСЕЛЕНИЯ</w:t>
      </w:r>
    </w:p>
    <w:p w14:paraId="07000000">
      <w:pPr>
        <w:pStyle w:val="Style_1"/>
        <w:rPr>
          <w:b w:val="1"/>
          <w:sz w:val="26"/>
        </w:rPr>
      </w:pPr>
    </w:p>
    <w:p w14:paraId="08000000">
      <w:pPr>
        <w:pStyle w:val="Style_1"/>
        <w:ind/>
        <w:jc w:val="center"/>
        <w:rPr>
          <w:b w:val="1"/>
          <w:sz w:val="26"/>
        </w:rPr>
      </w:pPr>
      <w:r>
        <w:rPr>
          <w:b w:val="1"/>
          <w:sz w:val="26"/>
        </w:rPr>
        <w:t>РЕШЕНИЕ</w:t>
      </w:r>
    </w:p>
    <w:p w14:paraId="09000000">
      <w:pPr>
        <w:pStyle w:val="Style_1"/>
        <w:ind/>
        <w:jc w:val="center"/>
        <w:rPr>
          <w:b w:val="1"/>
          <w:sz w:val="26"/>
        </w:rPr>
      </w:pPr>
    </w:p>
    <w:p w14:paraId="0A000000">
      <w:pPr>
        <w:pStyle w:val="Style_1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«Об утверждении </w:t>
      </w:r>
      <w:r>
        <w:rPr>
          <w:b w:val="1"/>
          <w:sz w:val="26"/>
        </w:rPr>
        <w:t>Перечня  имущества, подлежащего передаче из муниципальной собственности муниципального образования «Натальевское сельское поселение» в муниципальную собственность муниципального образования «Неклиновский  район»»</w:t>
      </w:r>
    </w:p>
    <w:p w14:paraId="0B000000">
      <w:pPr>
        <w:pStyle w:val="Style_1"/>
        <w:spacing w:line="276" w:lineRule="auto"/>
        <w:ind/>
        <w:jc w:val="both"/>
        <w:rPr>
          <w:sz w:val="26"/>
        </w:rPr>
      </w:pPr>
    </w:p>
    <w:p w14:paraId="0C000000">
      <w:pPr>
        <w:pStyle w:val="Style_1"/>
        <w:spacing w:line="276" w:lineRule="auto"/>
        <w:ind/>
        <w:jc w:val="both"/>
        <w:rPr>
          <w:b w:val="1"/>
          <w:sz w:val="26"/>
        </w:rPr>
      </w:pPr>
      <w:r>
        <w:rPr>
          <w:b w:val="1"/>
          <w:sz w:val="26"/>
        </w:rPr>
        <w:t xml:space="preserve">          </w:t>
      </w:r>
      <w:r>
        <w:rPr>
          <w:b w:val="1"/>
          <w:sz w:val="26"/>
        </w:rPr>
        <w:t xml:space="preserve">Принято </w:t>
      </w:r>
    </w:p>
    <w:p w14:paraId="0D000000">
      <w:pPr>
        <w:pStyle w:val="Style_1"/>
        <w:spacing w:line="276" w:lineRule="auto"/>
        <w:ind/>
        <w:jc w:val="both"/>
        <w:rPr>
          <w:b w:val="1"/>
          <w:sz w:val="26"/>
        </w:rPr>
      </w:pPr>
      <w:r>
        <w:rPr>
          <w:b w:val="1"/>
          <w:sz w:val="26"/>
        </w:rPr>
        <w:t>Собранием депутатов                                                                           «16» сентября 2022 г.</w:t>
      </w:r>
    </w:p>
    <w:p w14:paraId="0E000000">
      <w:pPr>
        <w:pStyle w:val="Style_1"/>
        <w:ind/>
        <w:jc w:val="both"/>
        <w:rPr>
          <w:b w:val="1"/>
          <w:sz w:val="26"/>
        </w:rPr>
      </w:pPr>
    </w:p>
    <w:p w14:paraId="0F000000">
      <w:pPr>
        <w:pStyle w:val="Style_1"/>
        <w:ind w:firstLine="720" w:left="0"/>
        <w:jc w:val="both"/>
        <w:rPr>
          <w:sz w:val="26"/>
        </w:rPr>
      </w:pPr>
      <w:r>
        <w:rPr>
          <w:sz w:val="26"/>
        </w:rPr>
        <w:t>В соответствии с статьей 50 Федерального закона от 06.10.2003 № 131-ФЗ «Об общих принципах организации местного самоуправления в РФ»,  Положением о порядке управления и распоряжения муниципальным имуществом муниципального образования «Натальевское сельское поселение» утвержденным решением Собрания депутатов Натальевского сельского поселения № 38 от 05.06.2017 г.  «Об утверждении Положения о порядке управления и распоряжения муниципальным имуществом муниципального образования «Натальевское сельское поселение», Уставом муниципального образования «Натальевское сельское поселение», Собрание депутатов Натальевского сельского поселения Неклиновского района решило:</w:t>
      </w:r>
    </w:p>
    <w:p w14:paraId="10000000">
      <w:pPr>
        <w:pStyle w:val="Style_1"/>
        <w:ind w:firstLine="839" w:left="0"/>
        <w:jc w:val="both"/>
        <w:rPr>
          <w:sz w:val="26"/>
        </w:rPr>
      </w:pPr>
    </w:p>
    <w:p w14:paraId="11000000">
      <w:pPr>
        <w:pStyle w:val="Style_1"/>
        <w:ind w:firstLine="708" w:left="0"/>
        <w:jc w:val="both"/>
        <w:rPr>
          <w:sz w:val="26"/>
        </w:rPr>
      </w:pPr>
      <w:r>
        <w:rPr>
          <w:sz w:val="26"/>
        </w:rPr>
        <w:t>1. Утвердить Перечень  имущества, подлежащего передаче из муниципальной собственности муниципального образования «Натальевское сельское поселение» в муниципальную собственность муниципального образования «Неклиновский  район».</w:t>
      </w:r>
    </w:p>
    <w:p w14:paraId="12000000">
      <w:pPr>
        <w:pStyle w:val="Style_1"/>
        <w:ind w:firstLine="839" w:left="0"/>
        <w:jc w:val="both"/>
        <w:rPr>
          <w:sz w:val="26"/>
        </w:rPr>
      </w:pPr>
      <w:r>
        <w:rPr>
          <w:sz w:val="26"/>
        </w:rPr>
        <w:t xml:space="preserve">2. Администрации Натальевского сельского поселения осуществить передачу имущества, подлежащего передаче из муниципальной собственности муниципального образования «Натальевское сельское поселение» в муниципальную собственность муниципального образования «Неклиновский  район» согласно приложения 1. </w:t>
      </w:r>
    </w:p>
    <w:p w14:paraId="13000000">
      <w:pPr>
        <w:pStyle w:val="Style_1"/>
        <w:ind w:firstLine="839" w:left="0"/>
        <w:jc w:val="both"/>
        <w:rPr>
          <w:sz w:val="26"/>
        </w:rPr>
      </w:pPr>
      <w:r>
        <w:rPr>
          <w:sz w:val="26"/>
        </w:rPr>
        <w:t>3.Настоящее решение подлежит опубликованию (обнародованию) и размещению на официальном сайте Натальевскогосельского поселения.</w:t>
      </w:r>
    </w:p>
    <w:p w14:paraId="14000000">
      <w:pPr>
        <w:pStyle w:val="Style_1"/>
        <w:ind w:firstLine="839" w:left="0"/>
        <w:jc w:val="both"/>
        <w:rPr>
          <w:sz w:val="26"/>
        </w:rPr>
      </w:pPr>
      <w:r>
        <w:rPr>
          <w:sz w:val="26"/>
        </w:rPr>
        <w:t>4. Настоящее решение вступает в силу с момента его  официального опубликования.</w:t>
      </w:r>
    </w:p>
    <w:p w14:paraId="15000000">
      <w:pPr>
        <w:pStyle w:val="Style_1"/>
        <w:ind/>
        <w:jc w:val="both"/>
        <w:rPr>
          <w:sz w:val="26"/>
        </w:rPr>
      </w:pPr>
      <w:r>
        <w:rPr>
          <w:sz w:val="26"/>
        </w:rPr>
        <w:tab/>
      </w:r>
    </w:p>
    <w:p w14:paraId="16000000">
      <w:pPr>
        <w:pStyle w:val="Style_1"/>
        <w:ind/>
        <w:jc w:val="both"/>
        <w:rPr>
          <w:sz w:val="26"/>
        </w:rPr>
      </w:pPr>
    </w:p>
    <w:p w14:paraId="17000000">
      <w:pPr>
        <w:pStyle w:val="Style_1"/>
        <w:ind/>
        <w:jc w:val="both"/>
        <w:rPr>
          <w:sz w:val="26"/>
        </w:rPr>
      </w:pPr>
    </w:p>
    <w:p w14:paraId="18000000">
      <w:pPr>
        <w:pStyle w:val="Style_1"/>
        <w:ind/>
        <w:jc w:val="both"/>
        <w:rPr>
          <w:sz w:val="26"/>
        </w:rPr>
      </w:pPr>
      <w:r>
        <w:rPr>
          <w:sz w:val="26"/>
        </w:rPr>
        <w:t>Председатель Собрания депутатов–</w:t>
      </w:r>
    </w:p>
    <w:p w14:paraId="19000000">
      <w:pPr>
        <w:pStyle w:val="Style_1"/>
        <w:ind/>
        <w:jc w:val="both"/>
        <w:rPr>
          <w:color w:val="000000"/>
          <w:sz w:val="26"/>
        </w:rPr>
      </w:pPr>
      <w:r>
        <w:rPr>
          <w:sz w:val="26"/>
        </w:rPr>
        <w:t>Глава Натальевского сельского поселения                     О. В. Прокопенко</w:t>
      </w:r>
    </w:p>
    <w:p w14:paraId="1A000000">
      <w:pPr>
        <w:pStyle w:val="Style_1"/>
        <w:ind/>
        <w:jc w:val="both"/>
        <w:rPr>
          <w:sz w:val="26"/>
        </w:rPr>
      </w:pPr>
    </w:p>
    <w:p w14:paraId="1B000000">
      <w:pPr>
        <w:pStyle w:val="Style_1"/>
        <w:ind/>
        <w:jc w:val="both"/>
        <w:rPr>
          <w:sz w:val="26"/>
        </w:rPr>
      </w:pPr>
    </w:p>
    <w:p w14:paraId="1C000000">
      <w:pPr>
        <w:pStyle w:val="Style_1"/>
        <w:ind/>
        <w:jc w:val="both"/>
        <w:rPr>
          <w:sz w:val="26"/>
        </w:rPr>
      </w:pPr>
    </w:p>
    <w:p w14:paraId="1D000000">
      <w:pPr>
        <w:pStyle w:val="Style_1"/>
        <w:ind/>
        <w:jc w:val="both"/>
        <w:rPr>
          <w:sz w:val="26"/>
        </w:rPr>
      </w:pPr>
      <w:r>
        <w:rPr>
          <w:sz w:val="26"/>
        </w:rPr>
        <w:t>Село Натальевка</w:t>
      </w:r>
    </w:p>
    <w:p w14:paraId="1E000000">
      <w:pPr>
        <w:pStyle w:val="Style_1"/>
        <w:ind/>
        <w:jc w:val="both"/>
        <w:rPr>
          <w:sz w:val="26"/>
        </w:rPr>
      </w:pPr>
      <w:r>
        <w:rPr>
          <w:sz w:val="26"/>
        </w:rPr>
        <w:t>«16» сентября 2022 года</w:t>
      </w:r>
    </w:p>
    <w:p w14:paraId="1F000000">
      <w:pPr>
        <w:pStyle w:val="Style_1"/>
        <w:ind/>
        <w:jc w:val="both"/>
        <w:rPr>
          <w:sz w:val="26"/>
        </w:rPr>
      </w:pPr>
      <w:r>
        <w:rPr>
          <w:sz w:val="26"/>
        </w:rPr>
        <w:t xml:space="preserve"> № </w:t>
      </w:r>
      <w:r>
        <w:rPr>
          <w:sz w:val="26"/>
        </w:rPr>
        <w:t>23</w:t>
      </w:r>
    </w:p>
    <w:p w14:paraId="20000000">
      <w:pPr>
        <w:pStyle w:val="Style_1"/>
        <w:ind/>
        <w:jc w:val="both"/>
        <w:rPr>
          <w:sz w:val="28"/>
        </w:rPr>
      </w:pPr>
    </w:p>
    <w:p w14:paraId="21000000">
      <w:pPr>
        <w:pStyle w:val="Style_1"/>
        <w:ind/>
        <w:jc w:val="both"/>
        <w:rPr>
          <w:sz w:val="28"/>
        </w:rPr>
      </w:pPr>
    </w:p>
    <w:p w14:paraId="22000000">
      <w:pPr>
        <w:pStyle w:val="Style_1"/>
        <w:ind/>
        <w:jc w:val="both"/>
        <w:rPr>
          <w:sz w:val="28"/>
        </w:rPr>
      </w:pPr>
    </w:p>
    <w:p w14:paraId="23000000">
      <w:pPr>
        <w:pStyle w:val="Style_1"/>
        <w:ind w:firstLine="708" w:left="4956"/>
        <w:jc w:val="both"/>
        <w:rPr>
          <w:sz w:val="20"/>
        </w:rPr>
      </w:pPr>
      <w:r>
        <w:rPr>
          <w:sz w:val="20"/>
        </w:rPr>
        <w:t xml:space="preserve">Приложение № 1 к решению Собранию депутатов Натальевского сельского поселения от  16 сентября 2022  г.  №  23  </w:t>
      </w:r>
      <w:r>
        <w:rPr>
          <w:sz w:val="20"/>
        </w:rPr>
        <w:t xml:space="preserve">«Об утверждении </w:t>
      </w:r>
      <w:r>
        <w:rPr>
          <w:sz w:val="20"/>
        </w:rPr>
        <w:t>Перечня  имущества, подлежащего передаче из муниципальной собственности муниципального образования «Натальевское сельское поселение» в муниципальную собственность муниципального образования «Неклиновский  район»»</w:t>
      </w:r>
    </w:p>
    <w:p w14:paraId="24000000">
      <w:pPr>
        <w:pStyle w:val="Style_1"/>
        <w:ind w:firstLine="720" w:left="5040" w:right="-2"/>
        <w:jc w:val="both"/>
      </w:pPr>
    </w:p>
    <w:p w14:paraId="25000000">
      <w:pPr>
        <w:pStyle w:val="Style_1"/>
        <w:ind w:firstLine="0" w:left="0" w:right="-2"/>
        <w:jc w:val="both"/>
      </w:pPr>
    </w:p>
    <w:p w14:paraId="26000000">
      <w:pPr>
        <w:pStyle w:val="Style_1"/>
        <w:tabs>
          <w:tab w:leader="none" w:pos="0" w:val="left"/>
        </w:tabs>
        <w:ind/>
        <w:jc w:val="right"/>
      </w:pPr>
    </w:p>
    <w:p w14:paraId="27000000">
      <w:pPr>
        <w:pStyle w:val="Style_1"/>
        <w:ind w:firstLine="0" w:left="0" w:right="-2"/>
        <w:jc w:val="center"/>
        <w:rPr>
          <w:b w:val="1"/>
        </w:rPr>
      </w:pPr>
      <w:r>
        <w:rPr>
          <w:b w:val="1"/>
        </w:rPr>
        <w:t>Перечень</w:t>
      </w:r>
    </w:p>
    <w:p w14:paraId="28000000">
      <w:pPr>
        <w:pStyle w:val="Style_1"/>
        <w:ind w:firstLine="0" w:left="0" w:right="-2"/>
        <w:jc w:val="center"/>
      </w:pPr>
      <w:r>
        <w:rPr>
          <w:b w:val="1"/>
        </w:rPr>
        <w:t xml:space="preserve"> </w:t>
      </w:r>
      <w:r>
        <w:rPr>
          <w:b w:val="1"/>
        </w:rPr>
        <w:t>муниципального имущества передаваемого  из муниципальной собственности муниципального образования «Натальевское сельское поселение» в муниципальную собственность муниципального образования «Неклиновский район»</w:t>
      </w:r>
    </w:p>
    <w:p w14:paraId="29000000">
      <w:pPr>
        <w:pStyle w:val="Style_1"/>
        <w:tabs>
          <w:tab w:leader="none" w:pos="0" w:val="left"/>
        </w:tabs>
        <w:spacing w:line="216" w:lineRule="auto"/>
        <w:ind/>
      </w:pPr>
    </w:p>
    <w:p w14:paraId="2A000000">
      <w:pPr>
        <w:pStyle w:val="Style_1"/>
        <w:tabs>
          <w:tab w:leader="none" w:pos="3953" w:val="left"/>
        </w:tabs>
        <w:ind/>
        <w:jc w:val="center"/>
        <w:rPr>
          <w:b w:val="1"/>
        </w:rPr>
      </w:pPr>
    </w:p>
    <w:p w14:paraId="2B000000">
      <w:pPr>
        <w:pStyle w:val="Style_1"/>
        <w:spacing w:line="216" w:lineRule="auto"/>
        <w:ind/>
        <w:jc w:val="center"/>
      </w:pPr>
    </w:p>
    <w:p w14:paraId="2C000000">
      <w:pPr>
        <w:pStyle w:val="Style_1"/>
        <w:spacing w:line="12" w:lineRule="auto"/>
        <w:ind/>
        <w:rPr>
          <w:sz w:val="2"/>
        </w:rPr>
      </w:pPr>
    </w:p>
    <w:tbl>
      <w:tblPr>
        <w:tblStyle w:val="Style_2"/>
        <w:tblInd w:type="dxa" w:w="-60"/>
        <w:tblBorders>
          <w:top w:color="000000" w:sz="2" w:val="single"/>
          <w:left w:color="000000" w:sz="2" w:val="single"/>
          <w:bottom w:color="000000" w:sz="2" w:val="single"/>
          <w:insideH w:color="000000" w:sz="2" w:val="single"/>
        </w:tblBorders>
        <w:tblLayout w:type="fixed"/>
        <w:tblCellMar>
          <w:top w:type="dxa" w:w="0"/>
          <w:left w:type="dxa" w:w="-1"/>
          <w:bottom w:type="dxa" w:w="0"/>
          <w:right w:type="dxa" w:w="0"/>
        </w:tblCellMar>
      </w:tblPr>
      <w:tblGrid>
        <w:gridCol w:w="679"/>
        <w:gridCol w:w="2609"/>
        <w:gridCol w:w="3294"/>
        <w:gridCol w:w="1134"/>
        <w:gridCol w:w="2614"/>
        <w:gridCol w:w="1"/>
        <w:gridCol w:w="375"/>
      </w:tblGrid>
      <w:tr>
        <w:trPr>
          <w:trHeight w:hRule="atLeast" w:val="170"/>
          <w:tblHeader/>
        </w:trPr>
        <w:tc>
          <w:tcPr>
            <w:tcW w:type="dxa" w:w="67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2D000000">
            <w:pPr>
              <w:pStyle w:val="Style_1"/>
              <w:spacing w:line="216" w:lineRule="auto"/>
              <w:ind/>
              <w:jc w:val="center"/>
            </w:pPr>
            <w:r>
              <w:t xml:space="preserve">№ </w:t>
            </w:r>
            <w:r>
              <w:t>п/п</w:t>
            </w:r>
          </w:p>
        </w:tc>
        <w:tc>
          <w:tcPr>
            <w:tcW w:type="dxa" w:w="260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2E000000">
            <w:pPr>
              <w:pStyle w:val="Style_1"/>
              <w:spacing w:line="216" w:lineRule="auto"/>
              <w:ind/>
              <w:jc w:val="center"/>
            </w:pPr>
            <w:r>
              <w:t>Наименование объектов</w:t>
            </w:r>
          </w:p>
        </w:tc>
        <w:tc>
          <w:tcPr>
            <w:tcW w:type="dxa" w:w="3294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2F000000">
            <w:pPr>
              <w:pStyle w:val="Style_1"/>
              <w:spacing w:line="216" w:lineRule="auto"/>
              <w:ind/>
              <w:jc w:val="center"/>
              <w:rPr>
                <w:spacing w:val="-2"/>
              </w:rPr>
            </w:pPr>
            <w:r>
              <w:t>Местонахождение объектов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30000000">
            <w:pPr>
              <w:pStyle w:val="Style_1"/>
              <w:spacing w:line="216" w:lineRule="auto"/>
              <w:ind w:firstLine="0" w:left="-57" w:right="-57"/>
              <w:jc w:val="center"/>
            </w:pPr>
            <w:r>
              <w:rPr>
                <w:spacing w:val="-2"/>
              </w:rPr>
              <w:t>Общая площадь (кв. м)</w:t>
            </w:r>
          </w:p>
        </w:tc>
        <w:tc>
          <w:tcPr>
            <w:tcW w:type="dxa" w:w="261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31000000">
            <w:pPr>
              <w:pStyle w:val="Style_1"/>
              <w:spacing w:line="216" w:lineRule="auto"/>
              <w:ind/>
              <w:jc w:val="center"/>
            </w:pPr>
            <w:r>
              <w:t>Балансовая стоимость, рублей</w:t>
            </w:r>
          </w:p>
        </w:tc>
        <w:tc>
          <w:tcPr>
            <w:tcW w:type="dxa" w:w="375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32000000">
            <w:pPr>
              <w:pStyle w:val="Style_1"/>
            </w:pPr>
          </w:p>
        </w:tc>
      </w:tr>
      <w:tr>
        <w:trPr>
          <w:trHeight w:hRule="atLeast" w:val="170"/>
        </w:trPr>
        <w:tc>
          <w:tcPr>
            <w:tcW w:type="dxa" w:w="67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33000000">
            <w:pPr>
              <w:pStyle w:val="Style_1"/>
              <w:spacing w:line="216" w:lineRule="auto"/>
              <w:ind/>
              <w:jc w:val="center"/>
            </w:pPr>
            <w:r>
              <w:t>1</w:t>
            </w:r>
          </w:p>
        </w:tc>
        <w:tc>
          <w:tcPr>
            <w:tcW w:type="dxa" w:w="260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34000000">
            <w:pPr>
              <w:pStyle w:val="Style_1"/>
              <w:spacing w:line="216" w:lineRule="auto"/>
              <w:ind/>
              <w:jc w:val="center"/>
            </w:pPr>
            <w:r>
              <w:t>2</w:t>
            </w:r>
          </w:p>
        </w:tc>
        <w:tc>
          <w:tcPr>
            <w:tcW w:type="dxa" w:w="3294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35000000">
            <w:pPr>
              <w:pStyle w:val="Style_1"/>
              <w:spacing w:line="216" w:lineRule="auto"/>
              <w:ind/>
              <w:jc w:val="center"/>
            </w:pPr>
            <w:r>
              <w:t>3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36000000">
            <w:pPr>
              <w:pStyle w:val="Style_1"/>
              <w:spacing w:line="216" w:lineRule="auto"/>
              <w:ind/>
              <w:jc w:val="center"/>
            </w:pPr>
            <w:r>
              <w:t>4</w:t>
            </w:r>
          </w:p>
        </w:tc>
        <w:tc>
          <w:tcPr>
            <w:tcW w:type="dxa" w:w="261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37000000">
            <w:pPr>
              <w:pStyle w:val="Style_1"/>
              <w:spacing w:line="216" w:lineRule="auto"/>
              <w:ind/>
              <w:jc w:val="center"/>
            </w:pPr>
            <w:r>
              <w:t>5</w:t>
            </w:r>
          </w:p>
        </w:tc>
        <w:tc>
          <w:tcPr>
            <w:tcW w:type="dxa" w:w="375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38000000">
            <w:pPr>
              <w:pStyle w:val="Style_1"/>
            </w:pPr>
          </w:p>
        </w:tc>
      </w:tr>
      <w:tr>
        <w:trPr>
          <w:trHeight w:hRule="atLeast" w:val="170"/>
        </w:trPr>
        <w:tc>
          <w:tcPr>
            <w:tcW w:type="dxa" w:w="10331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39000000">
            <w:pPr>
              <w:pStyle w:val="Style_1"/>
              <w:spacing w:line="216" w:lineRule="auto"/>
              <w:ind/>
            </w:pPr>
          </w:p>
          <w:p w14:paraId="3A000000">
            <w:pPr>
              <w:pStyle w:val="Style_1"/>
              <w:spacing w:line="216" w:lineRule="auto"/>
              <w:ind w:firstLine="0" w:left="113"/>
              <w:jc w:val="center"/>
              <w:rPr>
                <w:b w:val="1"/>
              </w:rPr>
            </w:pPr>
            <w:r>
              <w:rPr>
                <w:b w:val="1"/>
              </w:rPr>
              <w:t>1. Недвижимое имущество</w:t>
            </w:r>
          </w:p>
          <w:p w14:paraId="3B000000">
            <w:pPr>
              <w:pStyle w:val="Style_1"/>
              <w:spacing w:line="216" w:lineRule="auto"/>
              <w:ind w:firstLine="0" w:left="113"/>
              <w:jc w:val="center"/>
              <w:rPr>
                <w:b w:val="1"/>
              </w:rPr>
            </w:pPr>
          </w:p>
        </w:tc>
        <w:tc>
          <w:tcPr>
            <w:tcW w:type="dxa" w:w="376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3C000000">
            <w:pPr>
              <w:pStyle w:val="Style_1"/>
            </w:pPr>
          </w:p>
        </w:tc>
      </w:tr>
      <w:tr>
        <w:trPr>
          <w:trHeight w:hRule="atLeast" w:val="170"/>
        </w:trPr>
        <w:tc>
          <w:tcPr>
            <w:tcW w:type="dxa" w:w="67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3D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60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3E000000">
            <w:pPr>
              <w:pStyle w:val="Style_1"/>
            </w:pPr>
            <w:r>
              <w:t>Водопровод, протяженностью: 1910 м.,</w:t>
            </w:r>
          </w:p>
          <w:p w14:paraId="3F000000">
            <w:pPr>
              <w:pStyle w:val="Style_1"/>
            </w:pPr>
            <w:r>
              <w:t>кадастровый номер: 61:26:0030301:434</w:t>
            </w:r>
          </w:p>
        </w:tc>
        <w:tc>
          <w:tcPr>
            <w:tcW w:type="dxa" w:w="3294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40000000">
            <w:pPr>
              <w:pStyle w:val="Style_1"/>
            </w:pPr>
            <w:r>
              <w:t>х. Николаево-Отрадное ул. Ленина, ул. Василевского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41000000">
            <w:pPr>
              <w:pStyle w:val="Style_1"/>
              <w:ind/>
              <w:jc w:val="center"/>
            </w:pPr>
            <w:r>
              <w:t>-</w:t>
            </w:r>
          </w:p>
        </w:tc>
        <w:tc>
          <w:tcPr>
            <w:tcW w:type="dxa" w:w="261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42000000">
            <w:pPr>
              <w:pStyle w:val="Style_1"/>
              <w:spacing w:line="204" w:lineRule="auto"/>
              <w:ind w:firstLine="0" w:left="113"/>
              <w:jc w:val="center"/>
            </w:pPr>
            <w:r>
              <w:t>1</w:t>
            </w:r>
          </w:p>
        </w:tc>
        <w:tc>
          <w:tcPr>
            <w:tcW w:type="dxa" w:w="375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43000000">
            <w:pPr>
              <w:pStyle w:val="Style_1"/>
            </w:pPr>
          </w:p>
        </w:tc>
      </w:tr>
      <w:tr>
        <w:trPr>
          <w:trHeight w:hRule="atLeast" w:val="170"/>
        </w:trPr>
        <w:tc>
          <w:tcPr>
            <w:tcW w:type="dxa" w:w="67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44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60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45000000">
            <w:pPr>
              <w:pStyle w:val="Style_1"/>
            </w:pPr>
            <w:r>
              <w:t>Водопровод, протяженностью: 1700 м.,</w:t>
            </w:r>
          </w:p>
          <w:p w14:paraId="46000000">
            <w:pPr>
              <w:pStyle w:val="Style_1"/>
            </w:pPr>
            <w:r>
              <w:t>кадастровый номер: 61:26:0030201:417</w:t>
            </w:r>
          </w:p>
        </w:tc>
        <w:tc>
          <w:tcPr>
            <w:tcW w:type="dxa" w:w="3294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47000000">
            <w:pPr>
              <w:pStyle w:val="Style_1"/>
            </w:pPr>
            <w:r>
              <w:t>х. Ломакин ул. Комарова, ул. Набережная, ул. Новая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48000000">
            <w:pPr>
              <w:pStyle w:val="Style_1"/>
              <w:ind/>
              <w:jc w:val="center"/>
            </w:pPr>
            <w:r>
              <w:t>-</w:t>
            </w:r>
          </w:p>
        </w:tc>
        <w:tc>
          <w:tcPr>
            <w:tcW w:type="dxa" w:w="261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49000000">
            <w:pPr>
              <w:pStyle w:val="Style_1"/>
              <w:spacing w:line="204" w:lineRule="auto"/>
              <w:ind w:firstLine="0" w:left="113"/>
              <w:jc w:val="center"/>
            </w:pPr>
            <w:r>
              <w:t>1</w:t>
            </w:r>
          </w:p>
        </w:tc>
        <w:tc>
          <w:tcPr>
            <w:tcW w:type="dxa" w:w="375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-1"/>
              <w:bottom w:type="dxa" w:w="0"/>
              <w:right w:type="dxa" w:w="0"/>
            </w:tcMar>
          </w:tcPr>
          <w:p w14:paraId="4A000000">
            <w:pPr>
              <w:pStyle w:val="Style_1"/>
            </w:pPr>
          </w:p>
          <w:p w14:paraId="4B000000">
            <w:pPr>
              <w:pStyle w:val="Style_1"/>
            </w:pPr>
          </w:p>
          <w:p w14:paraId="4C000000">
            <w:pPr>
              <w:pStyle w:val="Style_1"/>
            </w:pPr>
          </w:p>
        </w:tc>
      </w:tr>
    </w:tbl>
    <w:p w14:paraId="4D000000">
      <w:pPr>
        <w:pStyle w:val="Style_1"/>
        <w:ind/>
        <w:jc w:val="both"/>
      </w:pPr>
    </w:p>
    <w:sectPr>
      <w:type w:val="nextPage"/>
      <w:pgSz w:h="16838" w:orient="portrait" w:w="11906"/>
      <w:pgMar w:bottom="1134" w:footer="0" w:gutter="0" w:header="0" w:left="993" w:right="707" w:top="85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4"/>
    </w:rPr>
  </w:style>
  <w:style w:styleId="Style_4" w:type="paragraph">
    <w:name w:val="Body Text"/>
    <w:basedOn w:val="Style_1"/>
    <w:link w:val="Style_4_ch"/>
    <w:pPr>
      <w:spacing w:after="140" w:before="0" w:line="276" w:lineRule="auto"/>
      <w:ind/>
    </w:pPr>
  </w:style>
  <w:style w:styleId="Style_4_ch" w:type="character">
    <w:name w:val="Body Text"/>
    <w:basedOn w:val="Style_1_ch"/>
    <w:link w:val="Style_4"/>
  </w:style>
  <w:style w:styleId="Style_5" w:type="paragraph">
    <w:name w:val="toc 2"/>
    <w:next w:val="Style_1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Верхний колонтитул Знак"/>
    <w:basedOn w:val="Style_10"/>
    <w:link w:val="Style_9_ch"/>
    <w:rPr>
      <w:rFonts w:ascii="Times New Roman" w:hAnsi="Times New Roman"/>
      <w:sz w:val="24"/>
    </w:rPr>
  </w:style>
  <w:style w:styleId="Style_9_ch" w:type="character">
    <w:name w:val="Верхний колонтитул Знак"/>
    <w:basedOn w:val="Style_10_ch"/>
    <w:link w:val="Style_9"/>
    <w:rPr>
      <w:rFonts w:ascii="Times New Roman" w:hAnsi="Times New Roman"/>
      <w:sz w:val="24"/>
    </w:rPr>
  </w:style>
  <w:style w:styleId="Style_11" w:type="paragraph">
    <w:name w:val="heading 3"/>
    <w:next w:val="Style_1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aption"/>
    <w:basedOn w:val="Style_1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Caption"/>
    <w:basedOn w:val="Style_1_ch"/>
    <w:link w:val="Style_12"/>
    <w:rPr>
      <w:i w:val="1"/>
      <w:sz w:val="24"/>
    </w:rPr>
  </w:style>
  <w:style w:styleId="Style_13" w:type="paragraph">
    <w:name w:val="Заголовок 1 Знак"/>
    <w:basedOn w:val="Style_10"/>
    <w:link w:val="Style_13_ch"/>
    <w:rPr>
      <w:rFonts w:ascii="Arial" w:hAnsi="Arial"/>
      <w:b w:val="1"/>
      <w:sz w:val="32"/>
    </w:rPr>
  </w:style>
  <w:style w:styleId="Style_13_ch" w:type="character">
    <w:name w:val="Заголовок 1 Знак"/>
    <w:basedOn w:val="Style_10_ch"/>
    <w:link w:val="Style_13"/>
    <w:rPr>
      <w:rFonts w:ascii="Arial" w:hAnsi="Arial"/>
      <w:b w:val="1"/>
      <w:sz w:val="32"/>
    </w:rPr>
  </w:style>
  <w:style w:styleId="Style_14" w:type="paragraph">
    <w:name w:val="Footer"/>
    <w:basedOn w:val="Style_1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1_ch"/>
    <w:link w:val="Style_14"/>
  </w:style>
  <w:style w:styleId="Style_15" w:type="paragraph">
    <w:name w:val="Header"/>
    <w:basedOn w:val="Style_1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1_ch"/>
    <w:link w:val="Style_15"/>
  </w:style>
  <w:style w:styleId="Style_16" w:type="paragraph">
    <w:name w:val="toc 3"/>
    <w:next w:val="Style_1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Нижний колонтитул Знак"/>
    <w:basedOn w:val="Style_10"/>
    <w:link w:val="Style_17_ch"/>
    <w:rPr>
      <w:rFonts w:ascii="Times New Roman" w:hAnsi="Times New Roman"/>
      <w:sz w:val="24"/>
    </w:rPr>
  </w:style>
  <w:style w:styleId="Style_17_ch" w:type="character">
    <w:name w:val="Нижний колонтитул Знак"/>
    <w:basedOn w:val="Style_10_ch"/>
    <w:link w:val="Style_17"/>
    <w:rPr>
      <w:rFonts w:ascii="Times New Roman" w:hAnsi="Times New Roman"/>
      <w:sz w:val="24"/>
    </w:rPr>
  </w:style>
  <w:style w:styleId="Style_18" w:type="paragraph">
    <w:name w:val="Текст выноски Знак"/>
    <w:basedOn w:val="Style_10"/>
    <w:link w:val="Style_18_ch"/>
    <w:rPr>
      <w:rFonts w:ascii="Segoe UI" w:hAnsi="Segoe UI"/>
      <w:sz w:val="18"/>
    </w:rPr>
  </w:style>
  <w:style w:styleId="Style_18_ch" w:type="character">
    <w:name w:val="Текст выноски Знак"/>
    <w:basedOn w:val="Style_10_ch"/>
    <w:link w:val="Style_18"/>
    <w:rPr>
      <w:rFonts w:ascii="Segoe UI" w:hAnsi="Segoe UI"/>
      <w:sz w:val="18"/>
    </w:rPr>
  </w:style>
  <w:style w:styleId="Style_19" w:type="paragraph">
    <w:name w:val="heading 5"/>
    <w:next w:val="Style_1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1"/>
    <w:link w:val="Style_20_ch"/>
    <w:uiPriority w:val="9"/>
    <w:qFormat/>
    <w:pPr>
      <w:keepNext w:val="1"/>
      <w:spacing w:after="60" w:before="240"/>
      <w:ind w:firstLine="709" w:left="0"/>
      <w:jc w:val="both"/>
      <w:outlineLvl w:val="0"/>
    </w:pPr>
    <w:rPr>
      <w:rFonts w:ascii="Arial" w:hAnsi="Arial"/>
      <w:b w:val="1"/>
      <w:sz w:val="32"/>
    </w:rPr>
  </w:style>
  <w:style w:styleId="Style_20_ch" w:type="character">
    <w:name w:val="heading 1"/>
    <w:basedOn w:val="Style_1_ch"/>
    <w:link w:val="Style_20"/>
    <w:rPr>
      <w:rFonts w:ascii="Arial" w:hAnsi="Arial"/>
      <w:b w:val="1"/>
      <w:sz w:val="32"/>
    </w:rPr>
  </w:style>
  <w:style w:styleId="Style_3" w:type="paragraph">
    <w:name w:val="ConsPlusNormal"/>
    <w:link w:val="Style_3_ch"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8"/>
    </w:rPr>
  </w:style>
  <w:style w:styleId="Style_3_ch" w:type="character">
    <w:name w:val="ConsPlusNormal"/>
    <w:link w:val="Style_3"/>
    <w:rPr>
      <w:rFonts w:ascii="Times New Roman" w:hAnsi="Times New Roman"/>
      <w:color w:val="000000"/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Заголовок Знак"/>
    <w:basedOn w:val="Style_10"/>
    <w:link w:val="Style_24_ch"/>
    <w:rPr>
      <w:rFonts w:asciiTheme="majorAscii" w:hAnsiTheme="majorHAnsi"/>
      <w:spacing w:val="-10"/>
      <w:sz w:val="56"/>
    </w:rPr>
  </w:style>
  <w:style w:styleId="Style_24_ch" w:type="character">
    <w:name w:val="Заголовок Знак"/>
    <w:basedOn w:val="Style_10_ch"/>
    <w:link w:val="Style_24"/>
    <w:rPr>
      <w:rFonts w:asciiTheme="majorAscii" w:hAnsiTheme="majorHAnsi"/>
      <w:spacing w:val="-10"/>
      <w:sz w:val="56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List Paragraph"/>
    <w:basedOn w:val="Style_1"/>
    <w:link w:val="Style_26_ch"/>
    <w:pPr>
      <w:spacing w:after="0" w:before="0"/>
      <w:ind w:firstLine="0" w:left="720"/>
      <w:contextualSpacing w:val="1"/>
    </w:pPr>
  </w:style>
  <w:style w:styleId="Style_26_ch" w:type="character">
    <w:name w:val="List Paragraph"/>
    <w:basedOn w:val="Style_1_ch"/>
    <w:link w:val="Style_26"/>
  </w:style>
  <w:style w:styleId="Style_27" w:type="paragraph">
    <w:name w:val="toc 9"/>
    <w:next w:val="Style_1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8" w:type="paragraph">
    <w:name w:val="toc 8"/>
    <w:next w:val="Style_1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1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Указатель"/>
    <w:basedOn w:val="Style_1"/>
    <w:link w:val="Style_30_ch"/>
  </w:style>
  <w:style w:styleId="Style_30_ch" w:type="character">
    <w:name w:val="Указатель"/>
    <w:basedOn w:val="Style_1_ch"/>
    <w:link w:val="Style_30"/>
  </w:style>
  <w:style w:styleId="Style_31" w:type="paragraph">
    <w:name w:val="Заголовок"/>
    <w:basedOn w:val="Style_1"/>
    <w:next w:val="Style_4"/>
    <w:link w:val="Style_3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1_ch" w:type="character">
    <w:name w:val="Заголовок"/>
    <w:basedOn w:val="Style_1_ch"/>
    <w:link w:val="Style_31"/>
    <w:rPr>
      <w:rFonts w:ascii="Liberation Sans" w:hAnsi="Liberation Sans"/>
      <w:sz w:val="28"/>
    </w:rPr>
  </w:style>
  <w:style w:styleId="Style_32" w:type="paragraph">
    <w:name w:val="Subtitle"/>
    <w:next w:val="Style_1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List"/>
    <w:basedOn w:val="Style_4"/>
    <w:link w:val="Style_33_ch"/>
  </w:style>
  <w:style w:styleId="Style_33_ch" w:type="character">
    <w:name w:val="List"/>
    <w:basedOn w:val="Style_4_ch"/>
    <w:link w:val="Style_33"/>
  </w:style>
  <w:style w:styleId="Style_34" w:type="paragraph">
    <w:name w:val="Title"/>
    <w:basedOn w:val="Style_1"/>
    <w:link w:val="Style_34_ch"/>
    <w:uiPriority w:val="10"/>
    <w:qFormat/>
    <w:pPr>
      <w:spacing w:after="0" w:before="0"/>
      <w:ind/>
      <w:contextualSpacing w:val="1"/>
    </w:pPr>
    <w:rPr>
      <w:rFonts w:asciiTheme="majorAscii" w:hAnsiTheme="majorHAnsi"/>
      <w:spacing w:val="-10"/>
      <w:sz w:val="56"/>
    </w:rPr>
  </w:style>
  <w:style w:styleId="Style_34_ch" w:type="character">
    <w:name w:val="Title"/>
    <w:basedOn w:val="Style_1_ch"/>
    <w:link w:val="Style_34"/>
    <w:rPr>
      <w:rFonts w:asciiTheme="majorAscii" w:hAnsiTheme="majorHAnsi"/>
      <w:spacing w:val="-10"/>
      <w:sz w:val="56"/>
    </w:rPr>
  </w:style>
  <w:style w:styleId="Style_35" w:type="paragraph">
    <w:name w:val="heading 4"/>
    <w:next w:val="Style_1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1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Balloon Text"/>
    <w:basedOn w:val="Style_1"/>
    <w:link w:val="Style_37_ch"/>
    <w:rPr>
      <w:rFonts w:ascii="Segoe UI" w:hAnsi="Segoe UI"/>
      <w:sz w:val="18"/>
    </w:rPr>
  </w:style>
  <w:style w:styleId="Style_37_ch" w:type="character">
    <w:name w:val="Balloon Text"/>
    <w:basedOn w:val="Style_1_ch"/>
    <w:link w:val="Style_37"/>
    <w:rPr>
      <w:rFonts w:ascii="Segoe UI" w:hAnsi="Segoe UI"/>
      <w:sz w:val="18"/>
    </w:rPr>
  </w:style>
  <w:style w:styleId="Style_38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2025-01-10T12:53:31Z</dcterms:modified>
</cp:coreProperties>
</file>