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/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2799715</wp:posOffset>
            </wp:positionH>
            <wp:positionV relativeFrom="paragraph">
              <wp:posOffset>95250</wp:posOffset>
            </wp:positionV>
            <wp:extent cx="828675" cy="949960"/>
            <wp:effectExtent l="0" t="0" r="0" b="0"/>
            <wp:wrapNone/>
            <wp:docPr id="1" name="Рисунок 1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5"/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32"/>
        </w:rPr>
        <w:t xml:space="preserve">       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  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РОССИЙСКАЯ ФЕДЕРАЦИЯ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РОСТОВСКАЯ ОБЛАСТЬ 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НЕКЛИНОВСКИЙ РАЙОН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>
      <w:pPr>
        <w:pStyle w:val="Normal"/>
        <w:pBdr>
          <w:bottom w:val="double" w:sz="12" w:space="1" w:color="000000"/>
        </w:pBdr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«Натальевское сельское поселение»</w:t>
      </w:r>
    </w:p>
    <w:p>
      <w:pPr>
        <w:pStyle w:val="Normal"/>
        <w:pBdr>
          <w:bottom w:val="double" w:sz="12" w:space="1" w:color="000000"/>
        </w:pBdr>
        <w:jc w:val="center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Администрация Натальевского сельского поселения</w:t>
      </w:r>
    </w:p>
    <w:p>
      <w:pPr>
        <w:pStyle w:val="Normal"/>
        <w:jc w:val="center"/>
        <w:rPr>
          <w:rFonts w:ascii="Arial" w:hAnsi="Arial"/>
          <w:b/>
          <w:b/>
          <w:szCs w:val="28"/>
        </w:rPr>
      </w:pPr>
      <w:r>
        <w:rPr>
          <w:rFonts w:ascii="Arial" w:hAnsi="Arial"/>
          <w:b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                2021 г.                                                        №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с. Натальевка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334_3750652198"/>
      <w:r>
        <w:rPr>
          <w:b/>
          <w:sz w:val="28"/>
          <w:szCs w:val="28"/>
        </w:rPr>
        <w:t>Об утверждении Методики оценки эффективности налоговых льгот (налоговых расходов) муниципального образования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«Натальевское сельское поселение»</w:t>
      </w:r>
      <w:bookmarkEnd w:id="0"/>
    </w:p>
    <w:p>
      <w:pPr>
        <w:pStyle w:val="Style23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со статьёй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постановлением Правительства Ростовской области от 07.11.2019 № 795 «</w:t>
      </w:r>
      <w:r>
        <w:rPr>
          <w:rFonts w:eastAsia="Calibri"/>
          <w:sz w:val="24"/>
          <w:szCs w:val="24"/>
        </w:rPr>
        <w:t xml:space="preserve">Об утверждении Порядка формирования перечня налоговых расходов Ростовской области и оценки налоговых расходов Ростовской области», </w:t>
      </w:r>
      <w:r>
        <w:rPr>
          <w:sz w:val="24"/>
          <w:szCs w:val="24"/>
        </w:rPr>
        <w:t>постановлением Администрации Натальевского сельского поселения от 25.11.2019 № 57 «Об утверждении Порядка формирования перечня налоговых расходов Натальевского сельского поселения и оценки налоговых расходов Натальевского сельского поселения»,</w:t>
      </w:r>
      <w:r>
        <w:rPr>
          <w:color w:val="000000"/>
          <w:sz w:val="24"/>
          <w:szCs w:val="24"/>
        </w:rPr>
        <w:t xml:space="preserve">  Администрация Натальевского сельского поселения</w:t>
      </w:r>
    </w:p>
    <w:p>
      <w:pPr>
        <w:pStyle w:val="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ПОСТАНОВЛЯЕТ:</w:t>
      </w:r>
    </w:p>
    <w:p>
      <w:pPr>
        <w:pStyle w:val="Style23"/>
        <w:ind w:hanging="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Normal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 Утвердить Методику оценки эффективности налоговых льгот (налоговых расходов) муниципального образования «Натальевское сельское поселение» согласно приложению 1.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Утвердить оценку эффективности социальных налоговых льгот и пониженных ставок (налоговых расходов) в Натальевском сельском поселении, согласно приложения 2 к данному постановлению.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момента опубликования и распространяется на правоотношения возникшие с 01 января 2021 г.</w:t>
      </w:r>
    </w:p>
    <w:p>
      <w:pPr>
        <w:pStyle w:val="Normal"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sz w:val="24"/>
          <w:szCs w:val="24"/>
        </w:rPr>
        <w:t>4. Контроль за выполнением настоящего постановления оставляю за собой.</w:t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Style23"/>
        <w:ind w:hanging="0"/>
        <w:rPr>
          <w:color w:val="000000"/>
          <w:spacing w:val="-24"/>
        </w:rPr>
      </w:pPr>
      <w:r>
        <w:rPr>
          <w:color w:val="000000"/>
          <w:spacing w:val="-24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Глава Администрации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Натальевского сельского поселения</w:t>
        <w:tab/>
        <w:t xml:space="preserve">                           </w:t>
        <w:tab/>
        <w:tab/>
        <w:tab/>
        <w:t xml:space="preserve"> А.Г.Чернецкий</w:t>
      </w:r>
      <w:r>
        <w:br w:type="page"/>
      </w:r>
    </w:p>
    <w:p>
      <w:pPr>
        <w:pStyle w:val="Normal"/>
        <w:tabs>
          <w:tab w:val="left" w:pos="1410" w:leader="none"/>
          <w:tab w:val="left" w:pos="6765" w:leader="none"/>
          <w:tab w:val="center" w:pos="7285" w:leader="none"/>
        </w:tabs>
        <w:ind w:left="6237" w:hanging="0"/>
        <w:jc w:val="center"/>
        <w:rPr/>
      </w:pPr>
      <w:r>
        <w:rPr/>
        <w:t>Приложение № 1</w:t>
      </w:r>
    </w:p>
    <w:p>
      <w:pPr>
        <w:pStyle w:val="Normal"/>
        <w:ind w:left="6237" w:hanging="0"/>
        <w:jc w:val="center"/>
        <w:rPr/>
      </w:pPr>
      <w:r>
        <w:rPr/>
        <w:t>к постановлению Администрации</w:t>
      </w:r>
    </w:p>
    <w:p>
      <w:pPr>
        <w:pStyle w:val="Normal"/>
        <w:ind w:left="6237" w:hanging="0"/>
        <w:jc w:val="center"/>
        <w:rPr/>
      </w:pPr>
      <w:r>
        <w:rPr>
          <w:color w:val="000000"/>
        </w:rPr>
        <w:t>Натальевского сельского поселения</w:t>
      </w:r>
    </w:p>
    <w:p>
      <w:pPr>
        <w:pStyle w:val="Normal"/>
        <w:ind w:left="6237" w:hanging="0"/>
        <w:jc w:val="center"/>
        <w:rPr/>
      </w:pPr>
      <w:r>
        <w:rPr/>
        <w:t>от 26.01.2021г.  № _3_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0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</w:t>
      </w:r>
    </w:p>
    <w:p>
      <w:pPr>
        <w:pStyle w:val="Normal"/>
        <w:tabs>
          <w:tab w:val="left" w:pos="990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налоговых льгот (налоговых расходов) </w:t>
      </w:r>
    </w:p>
    <w:p>
      <w:pPr>
        <w:pStyle w:val="Normal"/>
        <w:tabs>
          <w:tab w:val="left" w:pos="990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«Натальевское сельское поселение»</w:t>
      </w:r>
    </w:p>
    <w:p>
      <w:pPr>
        <w:pStyle w:val="Normal"/>
        <w:tabs>
          <w:tab w:val="left" w:pos="990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Настоящая методика определяет общие требования к порядку и критериям оценки эффективности налоговых расходов муниципального образования, </w:t>
      </w:r>
      <w:r>
        <w:rPr>
          <w:sz w:val="24"/>
          <w:szCs w:val="24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настоящей методики: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>
        <w:rPr>
          <w:i/>
          <w:sz w:val="24"/>
          <w:szCs w:val="24"/>
        </w:rPr>
        <w:t>налоговыми льготами</w:t>
      </w:r>
      <w:r>
        <w:rPr>
          <w:sz w:val="24"/>
          <w:szCs w:val="24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>
      <w:pPr>
        <w:pStyle w:val="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 </w:t>
      </w:r>
      <w:r>
        <w:rPr>
          <w:i/>
          <w:sz w:val="24"/>
          <w:szCs w:val="24"/>
          <w:lang w:eastAsia="en-US"/>
        </w:rPr>
        <w:t>налоговыми расходами</w:t>
      </w:r>
      <w:r>
        <w:rPr>
          <w:sz w:val="24"/>
          <w:szCs w:val="24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>
      <w:pPr>
        <w:pStyle w:val="Normal"/>
        <w:tabs>
          <w:tab w:val="left" w:pos="0" w:leader="none"/>
          <w:tab w:val="left" w:pos="1134" w:leader="none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>Перечень налоговых льгот (налоговых расходов)</w:t>
      </w:r>
      <w:r>
        <w:rPr>
          <w:sz w:val="24"/>
          <w:szCs w:val="24"/>
        </w:rPr>
        <w:t xml:space="preserve"> муниципального образования формируется в порядке, установленном  Администрацией Натальевского сельского поселения,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представительного органа муниципального образования.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Федерации, актами представительного органа муниципального образования.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Принадлежность налоговых льгот (налоговых расходов) 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льготы (налоговые расходы), которые не соответствуют перечисленным выше критериям, относятся к </w:t>
      </w:r>
      <w:r>
        <w:rPr>
          <w:i/>
          <w:sz w:val="24"/>
          <w:szCs w:val="24"/>
        </w:rPr>
        <w:t>непрограммным</w:t>
      </w:r>
      <w:r>
        <w:rPr>
          <w:sz w:val="24"/>
          <w:szCs w:val="24"/>
        </w:rPr>
        <w:t xml:space="preserve"> налоговым льготам (налоговым расходам).</w:t>
      </w:r>
    </w:p>
    <w:p>
      <w:pPr>
        <w:pStyle w:val="Normal"/>
        <w:tabs>
          <w:tab w:val="left" w:pos="0" w:leader="none"/>
        </w:tabs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99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порядку и критериям оценки</w:t>
      </w:r>
    </w:p>
    <w:p>
      <w:pPr>
        <w:pStyle w:val="ListParagraph"/>
        <w:tabs>
          <w:tab w:val="left" w:pos="990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эффективности налоговых льгот (налоговых расходов)</w:t>
      </w:r>
    </w:p>
    <w:p>
      <w:pPr>
        <w:pStyle w:val="Normal"/>
        <w:tabs>
          <w:tab w:val="left" w:pos="990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Оценка эффективности налоговых льгот (налоговых расходов) осуществляется в два этапа: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этап – оценка </w:t>
      </w:r>
      <w:r>
        <w:rPr>
          <w:i/>
          <w:sz w:val="24"/>
          <w:szCs w:val="24"/>
        </w:rPr>
        <w:t>целесообразности</w:t>
      </w:r>
      <w:r>
        <w:rPr>
          <w:sz w:val="24"/>
          <w:szCs w:val="24"/>
        </w:rPr>
        <w:t xml:space="preserve"> осуществления налоговых льгот (налоговых расходов);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оценка </w:t>
      </w:r>
      <w:r>
        <w:rPr>
          <w:i/>
          <w:sz w:val="24"/>
          <w:szCs w:val="24"/>
        </w:rPr>
        <w:t xml:space="preserve">результативности </w:t>
      </w:r>
      <w:r>
        <w:rPr>
          <w:sz w:val="24"/>
          <w:szCs w:val="24"/>
        </w:rPr>
        <w:t xml:space="preserve">налоговых льгот (налоговых расходов).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социальная – поддержка отдельных категорий граждан;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конечной целью которых является социальная защита (поддержка) населения;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финансовая – устранение/уменьшение встречных финансовых потоков;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стимулирующая – привлечение инвестиций и расширение экономического потенциала.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Обязательными критериями </w:t>
      </w:r>
      <w:r>
        <w:rPr>
          <w:i/>
          <w:sz w:val="24"/>
          <w:szCs w:val="24"/>
        </w:rPr>
        <w:t>целесообразности</w:t>
      </w:r>
      <w:r>
        <w:rPr>
          <w:sz w:val="24"/>
          <w:szCs w:val="24"/>
        </w:rPr>
        <w:t xml:space="preserve"> осуществления налоговых льгот (налоговых расходов) являются: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значимых отрицательных внешних эффектов.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Оценка </w:t>
      </w:r>
      <w:r>
        <w:rPr>
          <w:i/>
          <w:sz w:val="24"/>
          <w:szCs w:val="24"/>
        </w:rPr>
        <w:t>результативности</w:t>
      </w:r>
      <w:r>
        <w:rPr>
          <w:sz w:val="24"/>
          <w:szCs w:val="24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В качестве критерия </w:t>
      </w:r>
      <w:r>
        <w:rPr>
          <w:i/>
          <w:sz w:val="24"/>
          <w:szCs w:val="24"/>
        </w:rPr>
        <w:t>результативности</w:t>
      </w:r>
      <w:r>
        <w:rPr>
          <w:sz w:val="24"/>
          <w:szCs w:val="24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Оценка </w:t>
      </w:r>
      <w:r>
        <w:rPr>
          <w:i/>
          <w:sz w:val="24"/>
          <w:szCs w:val="24"/>
        </w:rPr>
        <w:t>результативности</w:t>
      </w:r>
      <w:r>
        <w:rPr>
          <w:sz w:val="24"/>
          <w:szCs w:val="24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 1 рубль бюджетных расходов (для достижения того же эффекта) в </w:t>
      </w:r>
      <w:r>
        <w:rPr>
          <w:i/>
          <w:sz w:val="24"/>
          <w:szCs w:val="24"/>
        </w:rPr>
        <w:t xml:space="preserve">случае применения альтернативных механизмов).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достижении целевых характеристик (критериев целесообразности) налогового расхода,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вкладе в достижение целей программы «Социальная поддержка лиц, замещающих муниципальные должности и муниципальных служащих, вышедших на пенсию по старости (инвалидности)» и (или) целей социально-экономического развития.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программы и (или) целей социально-экономического развития, не относящихся к муниципальным программам.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налоговых расходы.</w:t>
      </w:r>
    </w:p>
    <w:p>
      <w:pPr>
        <w:pStyle w:val="Style2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Дубовского района в рамках представления информации в Сводный реестр налоговых льгот (налоговых расходов) субъектов Российской Федерации.</w:t>
      </w:r>
    </w:p>
    <w:p>
      <w:pPr>
        <w:pStyle w:val="Style2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>. Порядок рассмотрения возможности предоставления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налоговых льгот и пониженных ставок (налоговых расходов)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2"/>
        <w:widowControl w:val="fals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Предоставленные (планируемых к пролонгации) налоговые льготы и поставленные ставки в Натальевском сельском поселении относятся к социальным льготам (расходам).</w:t>
      </w:r>
    </w:p>
    <w:p>
      <w:pPr>
        <w:pStyle w:val="12"/>
        <w:widowControl w:val="fals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Оценка эффективности социальных налоговых льгот 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пониженных ставок (налоговых расходов)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1"/>
        <w:shd w:val="clear" w:color="auto" w:fill="FFFFFF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Натальевского сельского поселения. 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>
      <w:pPr>
        <w:pStyle w:val="Normal"/>
        <w:widowControl w:val="false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>
      <w:pPr>
        <w:pStyle w:val="Normal"/>
        <w:widowControl w:val="false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3.1.2.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соответствие налоговых льгот и пониженных ставок (налоговых расходов) целям и задачам социально-экономической политики Натальевского сельского поселения;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предоставление налоговой льготы (налогового расхода)  гражданам, оказавшимся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трудной жизненной ситуации.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ЭФс = Ксц+Ккн+Клк+Ктс, где: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ЭФс – коэффициент эффективности социальной налоговой льготы;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Ксц – коэффициент соответствия налоговых расходов и пониженных ставок (налоговых расходов) целям и задачам социально-экономической политики сельского поселения;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Ккн – коэффициент критерия нуждаемости;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Ктс – коэффициент принадлежности граждан к группе оказавшихся в трудной жизненной ситуации.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(ЭФс) больше или равно «1».</w:t>
      </w:r>
    </w:p>
    <w:p>
      <w:pPr>
        <w:pStyle w:val="ConsPlusNormal1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>
      <w:pPr>
        <w:sectPr>
          <w:headerReference w:type="default" r:id="rId3"/>
          <w:type w:val="nextPage"/>
          <w:pgSz w:w="11906" w:h="16838"/>
          <w:pgMar w:left="1276" w:right="567" w:header="284" w:top="405" w:footer="0" w:bottom="709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ConsPlusNormal1"/>
        <w:suppressAutoHyphens w:val="true"/>
        <w:spacing w:before="0"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17"/>
        <w:gridCol w:w="4536"/>
      </w:tblGrid>
      <w:tr>
        <w:trPr>
          <w:trHeight w:val="1554" w:hRule="atLeast"/>
        </w:trPr>
        <w:tc>
          <w:tcPr>
            <w:tcW w:w="531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tabs>
                <w:tab w:val="left" w:pos="1410" w:leader="none"/>
                <w:tab w:val="left" w:pos="6765" w:leader="none"/>
                <w:tab w:val="center" w:pos="7285" w:leader="none"/>
              </w:tabs>
              <w:ind w:left="2430" w:hanging="0"/>
              <w:jc w:val="center"/>
              <w:rPr/>
            </w:pPr>
            <w:r>
              <w:rPr/>
              <w:t>Приложение № 1</w:t>
            </w:r>
          </w:p>
          <w:p>
            <w:pPr>
              <w:pStyle w:val="Normal"/>
              <w:ind w:left="2430" w:hanging="0"/>
              <w:jc w:val="center"/>
              <w:rPr/>
            </w:pPr>
            <w:r>
              <w:rPr/>
              <w:t>к постановлению Администрации</w:t>
            </w:r>
          </w:p>
          <w:p>
            <w:pPr>
              <w:pStyle w:val="Normal"/>
              <w:ind w:left="2430" w:hanging="0"/>
              <w:jc w:val="center"/>
              <w:rPr/>
            </w:pPr>
            <w:r>
              <w:rPr>
                <w:color w:val="000000"/>
              </w:rPr>
              <w:t>Натальевского сельского поселения</w:t>
            </w:r>
          </w:p>
          <w:p>
            <w:pPr>
              <w:pStyle w:val="Normal"/>
              <w:ind w:left="2430" w:hanging="0"/>
              <w:jc w:val="center"/>
              <w:rPr/>
            </w:pPr>
            <w:r>
              <w:rPr/>
              <w:t>от 26.01.2021г.  № 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43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социальных налоговых льгот и </w:t>
      </w:r>
    </w:p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пониженных ставок (налоговых расходов) в Натальевском сельском поселении</w:t>
      </w:r>
    </w:p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>
          <w:b/>
          <w:b/>
        </w:rPr>
      </w:pPr>
      <w:r>
        <w:rPr>
          <w:b/>
        </w:rPr>
      </w:r>
    </w:p>
    <w:tbl>
      <w:tblPr>
        <w:tblW w:w="96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4"/>
        <w:gridCol w:w="5846"/>
        <w:gridCol w:w="3190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критерия (да/нет)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налоговых льгот и пониженных ставок (налоговых расходов) целям и задачам социально-экономической политики Натальевского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287" w:hanging="72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cf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b1bc5"/>
    <w:pPr>
      <w:keepNext w:val="true"/>
      <w:outlineLvl w:val="0"/>
    </w:pPr>
    <w:rPr>
      <w:rFonts w:eastAsia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Style13" w:customStyle="1">
    <w:name w:val="Основной текст с отступом Знак"/>
    <w:link w:val="a3"/>
    <w:uiPriority w:val="99"/>
    <w:qFormat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link w:val="2"/>
    <w:uiPriority w:val="99"/>
    <w:semiHidden/>
    <w:qFormat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f13cf0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Нижний колонтитул Знак"/>
    <w:link w:val="a9"/>
    <w:uiPriority w:val="99"/>
    <w:qFormat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Название Знак"/>
    <w:link w:val="ab"/>
    <w:qFormat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fb1bc5"/>
    <w:rPr>
      <w:rFonts w:ascii="Arial" w:hAnsi="Arial"/>
      <w:sz w:val="22"/>
      <w:lang w:eastAsia="ru-RU" w:bidi="ar-SA"/>
    </w:rPr>
  </w:style>
  <w:style w:type="character" w:styleId="Style17" w:customStyle="1">
    <w:name w:val="Верхний колонтитул Знак"/>
    <w:link w:val="ad"/>
    <w:uiPriority w:val="99"/>
    <w:qFormat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fb1bc5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uiPriority w:val="99"/>
    <w:rsid w:val="00f13cf0"/>
    <w:pPr>
      <w:ind w:firstLine="709"/>
      <w:jc w:val="both"/>
    </w:pPr>
    <w:rPr>
      <w:rFonts w:eastAsia="Calibri"/>
    </w:rPr>
  </w:style>
  <w:style w:type="paragraph" w:styleId="BodyText2">
    <w:name w:val="Body Text 2"/>
    <w:basedOn w:val="Normal"/>
    <w:link w:val="20"/>
    <w:uiPriority w:val="99"/>
    <w:semiHidden/>
    <w:qFormat/>
    <w:rsid w:val="00f13cf0"/>
    <w:pPr>
      <w:ind w:right="6111" w:hanging="0"/>
    </w:pPr>
    <w:rPr>
      <w:rFonts w:eastAsia="Calibri"/>
      <w:sz w:val="24"/>
      <w:szCs w:val="24"/>
    </w:rPr>
  </w:style>
  <w:style w:type="paragraph" w:styleId="ConsNormal" w:customStyle="1">
    <w:name w:val="ConsNormal"/>
    <w:uiPriority w:val="99"/>
    <w:qFormat/>
    <w:rsid w:val="00f13cf0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f13cf0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8c7d16"/>
    <w:pPr>
      <w:spacing w:before="0" w:after="0"/>
      <w:ind w:left="720" w:hanging="0"/>
      <w:contextualSpacing/>
      <w:jc w:val="center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a0365f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Footer"/>
    <w:basedOn w:val="Normal"/>
    <w:link w:val="aa"/>
    <w:uiPriority w:val="99"/>
    <w:rsid w:val="002b2725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ConsPlusNormal1" w:customStyle="1">
    <w:name w:val="ConsPlusNormal"/>
    <w:link w:val="ConsPlusNormal0"/>
    <w:uiPriority w:val="99"/>
    <w:qFormat/>
    <w:rsid w:val="000a7c8f"/>
    <w:pPr>
      <w:widowControl w:val="false"/>
      <w:bidi w:val="0"/>
      <w:ind w:firstLine="720"/>
      <w:jc w:val="left"/>
    </w:pPr>
    <w:rPr>
      <w:rFonts w:ascii="Arial" w:hAnsi="Arial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Style25">
    <w:name w:val="Title"/>
    <w:basedOn w:val="Normal"/>
    <w:link w:val="ac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paragraph" w:styleId="12" w:customStyle="1">
    <w:name w:val="Без интервала1"/>
    <w:uiPriority w:val="99"/>
    <w:qFormat/>
    <w:rsid w:val="00fb1bc5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Style26">
    <w:name w:val="Header"/>
    <w:basedOn w:val="Normal"/>
    <w:link w:val="ae"/>
    <w:uiPriority w:val="99"/>
    <w:rsid w:val="00fb1bc5"/>
    <w:pPr>
      <w:tabs>
        <w:tab w:val="center" w:pos="4677" w:leader="none"/>
        <w:tab w:val="right" w:pos="9355" w:leader="none"/>
      </w:tabs>
    </w:pPr>
    <w:rPr>
      <w:rFonts w:eastAsia="Calibri"/>
      <w:sz w:val="24"/>
      <w:szCs w:val="24"/>
    </w:rPr>
  </w:style>
  <w:style w:type="paragraph" w:styleId="Style27" w:customStyle="1">
    <w:name w:val="Нормальный (таблица)"/>
    <w:basedOn w:val="Normal"/>
    <w:uiPriority w:val="99"/>
    <w:qFormat/>
    <w:rsid w:val="00fb1bc5"/>
    <w:pPr>
      <w:widowControl w:val="false"/>
      <w:jc w:val="both"/>
    </w:pPr>
    <w:rPr>
      <w:rFonts w:ascii="Arial" w:hAnsi="Arial" w:cs="Arial"/>
      <w:sz w:val="26"/>
      <w:szCs w:val="26"/>
    </w:rPr>
  </w:style>
  <w:style w:type="paragraph" w:styleId="Style28" w:customStyle="1">
    <w:name w:val="Прижатый влево"/>
    <w:basedOn w:val="Normal"/>
    <w:uiPriority w:val="99"/>
    <w:qFormat/>
    <w:rsid w:val="00fb1bc5"/>
    <w:pPr>
      <w:widowControl w:val="false"/>
    </w:pPr>
    <w:rPr>
      <w:rFonts w:ascii="Arial" w:hAnsi="Arial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0365f"/>
    <w:rPr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LibreOffice/6.0.4.2$Windows_x86 LibreOffice_project/9b0d9b32d5dcda91d2f1a96dc04c645c450872bf</Application>
  <Pages>6</Pages>
  <Words>1658</Words>
  <Characters>13271</Characters>
  <CharactersWithSpaces>15061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2021-01-15T11:35:00Z</dcterms:created>
  <dc:creator>ARM-17-1</dc:creator>
  <dc:description/>
  <dc:language>ru-RU</dc:language>
  <cp:lastModifiedBy/>
  <cp:lastPrinted>2021-02-01T05:09:00Z</cp:lastPrinted>
  <dcterms:modified xsi:type="dcterms:W3CDTF">2021-02-15T09:26:15Z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